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ind w:firstLine="640" w:firstLineChars="200"/>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长春市九台区工信局2019年</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lang w:eastAsia="zh-CN"/>
        </w:rPr>
        <w:t>政府信息公开工作年度报告</w:t>
      </w:r>
    </w:p>
    <w:p>
      <w:pPr>
        <w:widowControl w:val="0"/>
        <w:wordWrap/>
        <w:adjustRightInd/>
        <w:snapToGrid/>
        <w:spacing w:line="600" w:lineRule="exact"/>
        <w:ind w:right="0" w:firstLine="64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区工信局深入贯彻党的十九大精神，认真落实政府工作报告和党中央、国务院重大决策部署，落实《中共中央办公厅、国务院办公厅印发〈关于全面推进政务公开工作的意见〉的通知》和《国务院办公厅印发〈关于全面推进政务公开工作的意见〉实施细则的通知》精神，全面推进工业信息化领域和商务领域决策、执行、管理、服务和结果公开，积极回应公众关切、不断提高政府工作透明度，切实发挥政府信息对人民群众生产、生活和经济社会的服务作用。</w:t>
      </w:r>
    </w:p>
    <w:p>
      <w:pPr>
        <w:widowControl w:val="0"/>
        <w:wordWrap/>
        <w:adjustRightInd/>
        <w:snapToGrid/>
        <w:spacing w:line="600" w:lineRule="exact"/>
        <w:ind w:left="0" w:leftChars="0" w:right="0" w:firstLine="0" w:firstLine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一、总体情况</w:t>
      </w:r>
    </w:p>
    <w:p>
      <w:pPr>
        <w:widowControl w:val="0"/>
        <w:wordWrap/>
        <w:adjustRightInd/>
        <w:snapToGrid/>
        <w:spacing w:line="600" w:lineRule="exact"/>
        <w:ind w:left="0" w:leftChars="0" w:right="0" w:firstLine="0" w:firstLineChars="0"/>
        <w:jc w:val="both"/>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（一）决策公开方面</w:t>
      </w:r>
    </w:p>
    <w:p>
      <w:pPr>
        <w:widowControl w:val="0"/>
        <w:wordWrap/>
        <w:adjustRightInd/>
        <w:snapToGrid/>
        <w:spacing w:line="600" w:lineRule="exact"/>
        <w:ind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在政府门户公开长春市九台区经济局</w:t>
      </w:r>
      <w:r>
        <w:rPr>
          <w:rFonts w:hint="eastAsia" w:ascii="宋体" w:hAnsi="宋体" w:eastAsia="宋体" w:cs="宋体"/>
          <w:sz w:val="24"/>
          <w:szCs w:val="24"/>
          <w:lang w:val="en-US" w:eastAsia="zh-CN"/>
        </w:rPr>
        <w:t>2018年度部门决算和2019年长春市九台区工业和信息化局部门决算。在重要会议方面，区工信局局长王泰峰在九台区召开招商引资工作动员部署大会上对《长春市九台区促进招商引资企业发展实施意见》《长春市九台区招商引资引荐人奖励实施办法（试行）》做文件解读；区工信局副局长焦明玉在九台区举办“万人助万企行动”暨重大项目专班培训会议上向全区助企工作队队员600余人进行培训。</w:t>
      </w:r>
    </w:p>
    <w:p>
      <w:pPr>
        <w:widowControl w:val="0"/>
        <w:wordWrap/>
        <w:adjustRightInd/>
        <w:snapToGrid/>
        <w:spacing w:line="600" w:lineRule="exact"/>
        <w:ind w:left="0" w:leftChars="0" w:right="0" w:firstLine="0" w:firstLineChars="0"/>
        <w:jc w:val="both"/>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（二）执行公开方面</w:t>
      </w:r>
    </w:p>
    <w:p>
      <w:pPr>
        <w:widowControl w:val="0"/>
        <w:wordWrap/>
        <w:adjustRightInd/>
        <w:snapToGrid/>
        <w:spacing w:line="600" w:lineRule="exact"/>
        <w:ind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我局参加了2019年度“双随机、一公开”跨部门联合抽查和实施了本部门抽查任务，将抽查结果在国家企业信用信息公示系统进行公示。</w:t>
      </w:r>
    </w:p>
    <w:p>
      <w:pPr>
        <w:widowControl w:val="0"/>
        <w:wordWrap/>
        <w:adjustRightInd/>
        <w:snapToGrid/>
        <w:spacing w:line="600" w:lineRule="exact"/>
        <w:ind w:left="0" w:leftChars="0" w:right="0" w:firstLine="0" w:firstLineChars="0"/>
        <w:jc w:val="both"/>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（三）服务公开方面</w:t>
      </w:r>
    </w:p>
    <w:p>
      <w:pPr>
        <w:widowControl w:val="0"/>
        <w:wordWrap/>
        <w:adjustRightInd/>
        <w:snapToGrid/>
        <w:spacing w:line="600" w:lineRule="exact"/>
        <w:ind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互联网+政务服务”推进政务服务“一网、一门、一次”改革实施中，我局按照机构改革后职责对标国家、省市，重新梳理权责清单，目前本级保留行使权限分别在行政许可类（初审）方面有4个，在其他行政权力类有2个，在行政处罚类有1个。所涉项目均需实地勘察向上级部门提出申请，2019年度还未在网上办理项目。</w:t>
      </w:r>
    </w:p>
    <w:p>
      <w:pPr>
        <w:pStyle w:val="4"/>
        <w:widowControl/>
        <w:numPr>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600" w:lineRule="exact"/>
        <w:ind w:left="420" w:leftChars="0" w:right="0" w:firstLine="0" w:firstLineChars="0"/>
        <w:jc w:val="both"/>
        <w:textAlignment w:val="auto"/>
        <w:outlineLvl w:val="9"/>
        <w:rPr>
          <w:rFonts w:hint="eastAsia" w:ascii="宋体" w:hAnsi="宋体" w:eastAsia="宋体" w:cs="宋体"/>
          <w:b/>
          <w:bCs w:val="0"/>
          <w:color w:val="000000"/>
          <w:kern w:val="0"/>
          <w:sz w:val="24"/>
          <w:szCs w:val="24"/>
          <w:shd w:val="clear" w:color="auto" w:fill="auto"/>
          <w:lang w:val="en-US" w:eastAsia="zh-CN"/>
        </w:rPr>
      </w:pPr>
      <w:r>
        <w:rPr>
          <w:rFonts w:hint="eastAsia" w:ascii="宋体" w:hAnsi="宋体" w:eastAsia="宋体" w:cs="宋体"/>
          <w:b/>
          <w:bCs w:val="0"/>
          <w:i w:val="0"/>
          <w:caps w:val="0"/>
          <w:color w:val="333333"/>
          <w:spacing w:val="0"/>
          <w:sz w:val="24"/>
          <w:szCs w:val="24"/>
          <w:shd w:val="clear" w:color="auto" w:fill="auto"/>
          <w:lang w:eastAsia="zh-CN"/>
        </w:rPr>
        <w:t>二、</w:t>
      </w:r>
      <w:r>
        <w:rPr>
          <w:rFonts w:hint="eastAsia" w:ascii="宋体" w:hAnsi="宋体" w:eastAsia="宋体" w:cs="宋体"/>
          <w:b/>
          <w:bCs w:val="0"/>
          <w:i w:val="0"/>
          <w:caps w:val="0"/>
          <w:color w:val="333333"/>
          <w:spacing w:val="0"/>
          <w:sz w:val="24"/>
          <w:szCs w:val="24"/>
          <w:shd w:val="clear" w:color="auto" w:fill="auto"/>
        </w:rPr>
        <w:t>主动公开政府信息情况</w:t>
      </w:r>
    </w:p>
    <w:tbl>
      <w:tblPr>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 xml:space="preserve">规章：地方行政规章指各省、自治区、直辖市的人民政府和省、自治区的人民政府所在地的市以及设区市的人民政府根据宪法、法律和行政法规等制定和发布的规范性文件。规章的名称一般称“规定”、“办法”，但不得称“条例”。 </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仿宋" w:hAnsi="仿宋" w:eastAsia="仿宋" w:cs="仿宋"/>
                <w:b w:val="0"/>
                <w:bCs w:val="0"/>
                <w:color w:val="000000"/>
                <w:kern w:val="0"/>
                <w:sz w:val="30"/>
                <w:szCs w:val="3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宋体"/>
                <w:lang w:val="en-US" w:eastAsia="zh-CN"/>
              </w:rPr>
            </w:pPr>
            <w:r>
              <w:rPr>
                <w:rFonts w:hint="eastAsia" w:ascii="仿宋" w:hAnsi="仿宋" w:eastAsia="仿宋" w:cs="仿宋"/>
                <w:sz w:val="30"/>
                <w:szCs w:val="3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是指各级人民政府及其派出机关、县级以上人民政府所属工作部门和法律、法规授权的具有管理公共事务职能的组织，在法定职权范围内依照法定程序制定、发布的针对不特定的多数人和特定事项，涉及或者影响公民、法人或者其他组织权利义务，在本行政区域或其管理范围内具有普遍约束力，能够反复适用的行政措施、决定、命令或者指示等行政规范。</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0</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宋体"/>
                <w:lang w:val="en-US" w:eastAsia="zh-CN"/>
              </w:rPr>
            </w:pPr>
            <w:r>
              <w:rPr>
                <w:rFonts w:hint="eastAsia"/>
                <w:lang w:val="en-US" w:eastAsia="zh-CN"/>
              </w:rPr>
              <w:t>3</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增1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r>
      <w:tr>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1</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eastAsia="宋体"/>
                <w:lang w:val="en-US" w:eastAsia="zh-CN"/>
              </w:rPr>
            </w:pPr>
            <w:r>
              <w:rPr>
                <w:rFonts w:hint="eastAsia"/>
                <w:lang w:val="en-US" w:eastAsia="zh-CN"/>
              </w:rPr>
              <w:t>增1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1</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color w:val="000000"/>
                <w:kern w:val="0"/>
                <w:sz w:val="20"/>
                <w:szCs w:val="20"/>
                <w:lang w:val="en-US" w:eastAsia="zh-CN"/>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hint="default" w:ascii="宋体" w:eastAsia="宋体"/>
                <w:sz w:val="24"/>
                <w:szCs w:val="24"/>
                <w:lang w:val="en-US" w:eastAsia="zh-CN"/>
              </w:rPr>
            </w:pPr>
            <w:r>
              <w:rPr>
                <w:rFonts w:hint="eastAsia" w:ascii="宋体" w:hAnsi="宋体" w:eastAsia="宋体" w:cs="宋体"/>
                <w:color w:val="000000"/>
                <w:kern w:val="0"/>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240" w:afterAutospacing="0" w:line="240" w:lineRule="auto"/>
        <w:ind w:left="0" w:leftChars="0" w:right="0" w:firstLine="0" w:firstLineChars="0"/>
        <w:jc w:val="both"/>
        <w:textAlignment w:val="auto"/>
        <w:outlineLvl w:val="9"/>
        <w:rPr>
          <w:rFonts w:hint="eastAsia" w:ascii="宋体" w:hAnsi="宋体" w:eastAsia="宋体" w:cs="宋体"/>
          <w:b/>
          <w:bCs w:val="0"/>
          <w:i w:val="0"/>
          <w:caps w:val="0"/>
          <w:color w:val="333333"/>
          <w:spacing w:val="0"/>
          <w:sz w:val="24"/>
          <w:szCs w:val="24"/>
        </w:rPr>
      </w:pPr>
      <w:r>
        <w:rPr>
          <w:rFonts w:hint="eastAsia" w:ascii="宋体" w:hAnsi="宋体" w:eastAsia="宋体" w:cs="宋体"/>
          <w:b/>
          <w:bCs w:val="0"/>
          <w:i w:val="0"/>
          <w:caps w:val="0"/>
          <w:color w:val="333333"/>
          <w:spacing w:val="0"/>
          <w:sz w:val="24"/>
          <w:szCs w:val="24"/>
          <w:shd w:val="clear" w:color="090000" w:fill="FFFFFF"/>
        </w:rPr>
        <w:t>三、收到和处理政府信息公开申请情况</w:t>
      </w:r>
    </w:p>
    <w:tbl>
      <w:tblPr>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3"/>
        <w:gridCol w:w="2080"/>
        <w:gridCol w:w="820"/>
        <w:gridCol w:w="755"/>
        <w:gridCol w:w="755"/>
        <w:gridCol w:w="813"/>
        <w:gridCol w:w="973"/>
        <w:gridCol w:w="712"/>
        <w:gridCol w:w="694"/>
      </w:tblGrid>
      <w:tr>
        <w:trPr>
          <w:jc w:val="center"/>
        </w:trPr>
        <w:tc>
          <w:tcPr>
            <w:tcW w:w="3549"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（本列数据的勾稽关系为：第一项加第二项之和，等于第三项加第四项之和）</w:t>
            </w:r>
          </w:p>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：指2019办理总数+2018年未办结数（跨年办理数）=2019办结数+2019未结数（跨年办理数）</w:t>
            </w:r>
          </w:p>
        </w:tc>
        <w:tc>
          <w:tcPr>
            <w:tcW w:w="5522"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rPr>
          <w:jc w:val="center"/>
        </w:trPr>
        <w:tc>
          <w:tcPr>
            <w:tcW w:w="354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2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rPr>
          <w:jc w:val="center"/>
        </w:trPr>
        <w:tc>
          <w:tcPr>
            <w:tcW w:w="354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2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rPr>
              <w:t>0</w:t>
            </w:r>
          </w:p>
        </w:tc>
      </w:tr>
      <w:tr>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（一）予以公开</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sz w:val="20"/>
                <w:szCs w:val="20"/>
              </w:rPr>
              <w:t>0</w:t>
            </w: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0"/>
                <w:szCs w:val="20"/>
              </w:rPr>
            </w:pPr>
            <w:r>
              <w:rPr>
                <w:rFonts w:hint="eastAsia" w:ascii="宋体" w:hAnsi="宋体" w:eastAsia="宋体" w:cs="宋体"/>
                <w:sz w:val="20"/>
                <w:szCs w:val="20"/>
              </w:rPr>
              <w:t>0</w:t>
            </w:r>
          </w:p>
        </w:tc>
      </w:tr>
    </w:tbl>
    <w:p>
      <w:pPr>
        <w:pStyle w:val="4"/>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widowControl w:val="0"/>
        <w:wordWrap/>
        <w:adjustRightInd/>
        <w:snapToGrid/>
        <w:spacing w:line="240" w:lineRule="auto"/>
        <w:ind w:left="0" w:leftChars="0" w:right="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r>
              <w:rPr>
                <w:rFonts w:hint="eastAsia"/>
              </w:rPr>
              <w:t>0</w:t>
            </w:r>
          </w:p>
        </w:tc>
      </w:tr>
    </w:tbl>
    <w:p>
      <w:pPr>
        <w:widowControl w:val="0"/>
        <w:wordWrap/>
        <w:adjustRightInd/>
        <w:snapToGrid/>
        <w:spacing w:line="600" w:lineRule="exact"/>
        <w:ind w:left="0" w:leftChars="0" w:right="0" w:firstLine="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五、存在的主要问题及改进情况</w:t>
      </w:r>
    </w:p>
    <w:p>
      <w:pPr>
        <w:widowControl w:val="0"/>
        <w:wordWrap/>
        <w:adjustRightInd/>
        <w:snapToGrid/>
        <w:spacing w:line="600" w:lineRule="exact"/>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2019年，区工信局在深化政务服务资源整合和完善政务服务事项平台做了大量的工作。但在信息公开的深度、广度方面与人民群众的期待还有差距，信息公开工作机制有待进一步完善，工作水平需进一步提高。</w:t>
      </w:r>
    </w:p>
    <w:p>
      <w:pPr>
        <w:widowControl w:val="0"/>
        <w:wordWrap/>
        <w:adjustRightInd/>
        <w:snapToGrid/>
        <w:spacing w:line="60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楷体" w:hAnsi="楷体" w:eastAsia="楷体" w:cs="楷体"/>
          <w:b w:val="0"/>
          <w:bCs w:val="0"/>
          <w:sz w:val="24"/>
          <w:szCs w:val="24"/>
          <w:lang w:val="en-US" w:eastAsia="zh-CN"/>
        </w:rPr>
        <w:t>（一）进一步深化信息公开内容</w:t>
      </w:r>
    </w:p>
    <w:p>
      <w:pPr>
        <w:widowControl w:val="0"/>
        <w:wordWrap/>
        <w:adjustRightInd/>
        <w:snapToGrid/>
        <w:spacing w:line="600" w:lineRule="exact"/>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认真落实国家、省市《关于全面推进政务公开工作的意见》，完善内部工作机制，明确公开主体，细化公开内容，加强督促检查，保障重大项目、重点领域信息公开。</w:t>
      </w:r>
    </w:p>
    <w:p>
      <w:pPr>
        <w:widowControl w:val="0"/>
        <w:wordWrap/>
        <w:adjustRightInd/>
        <w:snapToGrid/>
        <w:spacing w:line="600" w:lineRule="exact"/>
        <w:ind w:left="0" w:leftChars="0" w:right="0" w:firstLine="0" w:firstLineChars="0"/>
        <w:jc w:val="both"/>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（二）增强信息公开意识</w:t>
      </w:r>
    </w:p>
    <w:p>
      <w:pPr>
        <w:widowControl w:val="0"/>
        <w:wordWrap/>
        <w:adjustRightInd/>
        <w:snapToGrid/>
        <w:spacing w:line="600" w:lineRule="exact"/>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加大在主动公开、依申请公开、</w:t>
      </w:r>
      <w:r>
        <w:rPr>
          <w:rFonts w:hint="eastAsia" w:ascii="宋体" w:hAnsi="宋体" w:cs="宋体"/>
          <w:sz w:val="24"/>
          <w:szCs w:val="24"/>
          <w:lang w:val="en-US" w:eastAsia="zh-CN"/>
        </w:rPr>
        <w:t>政</w:t>
      </w:r>
      <w:bookmarkStart w:id="0" w:name="_GoBack"/>
      <w:bookmarkEnd w:id="0"/>
      <w:r>
        <w:rPr>
          <w:rFonts w:hint="eastAsia" w:ascii="宋体" w:hAnsi="宋体" w:eastAsia="宋体" w:cs="宋体"/>
          <w:sz w:val="24"/>
          <w:szCs w:val="24"/>
          <w:lang w:val="en-US" w:eastAsia="zh-CN"/>
        </w:rPr>
        <w:t>民互动、政策解读等方面的工作力度，加强信息公开业务能力培训、不断提高政务公开工作水平。</w:t>
      </w:r>
    </w:p>
    <w:p>
      <w:pPr>
        <w:widowControl w:val="0"/>
        <w:wordWrap/>
        <w:adjustRightInd/>
        <w:snapToGrid/>
        <w:spacing w:line="600" w:lineRule="exact"/>
        <w:ind w:left="0" w:leftChars="0" w:right="0" w:firstLine="32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六、其他需要报告的事项</w:t>
      </w:r>
    </w:p>
    <w:p>
      <w:pPr>
        <w:widowControl w:val="0"/>
        <w:wordWrap/>
        <w:adjustRightInd/>
        <w:snapToGrid/>
        <w:spacing w:line="600" w:lineRule="exact"/>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九台区经济局（现名称工信局）部分审批职能已划走、撤市变区有些权利没有下放，相关审批事项权限已不在我局，有关市县级融资担保公司、对外劳务合作经营资格核准、请予以删除。</w:t>
      </w:r>
    </w:p>
    <w:p>
      <w:pPr>
        <w:widowControl w:val="0"/>
        <w:wordWrap/>
        <w:adjustRightInd/>
        <w:snapToGrid/>
        <w:ind w:firstLine="640" w:firstLineChars="200"/>
        <w:jc w:val="both"/>
        <w:textAlignment w:val="auto"/>
        <w:rPr>
          <w:rFonts w:hint="eastAsia" w:ascii="宋体" w:hAnsi="宋体" w:eastAsia="宋体" w:cs="宋体"/>
          <w:sz w:val="24"/>
          <w:szCs w:val="24"/>
          <w:lang w:val="en-US" w:eastAsia="zh-CN"/>
        </w:rPr>
      </w:pPr>
    </w:p>
    <w:p>
      <w:pPr>
        <w:widowControl w:val="0"/>
        <w:wordWrap/>
        <w:adjustRightInd/>
        <w:snapToGrid/>
        <w:ind w:firstLine="640" w:firstLineChars="200"/>
        <w:jc w:val="both"/>
        <w:textAlignment w:val="auto"/>
        <w:rPr>
          <w:rFonts w:hint="eastAsia" w:ascii="宋体" w:hAnsi="宋体" w:eastAsia="宋体" w:cs="宋体"/>
          <w:sz w:val="24"/>
          <w:szCs w:val="24"/>
          <w:lang w:val="en-US" w:eastAsia="zh-CN"/>
        </w:rPr>
      </w:pPr>
    </w:p>
    <w:p>
      <w:pPr>
        <w:widowControl w:val="0"/>
        <w:wordWrap/>
        <w:adjustRightInd/>
        <w:snapToGrid/>
        <w:ind w:firstLine="640" w:firstLineChars="200"/>
        <w:jc w:val="both"/>
        <w:textAlignment w:val="auto"/>
        <w:rPr>
          <w:rFonts w:hint="eastAsia" w:ascii="宋体" w:hAnsi="宋体" w:eastAsia="宋体" w:cs="宋体"/>
          <w:sz w:val="24"/>
          <w:szCs w:val="24"/>
          <w:lang w:val="en-US" w:eastAsia="zh-CN"/>
        </w:rPr>
      </w:pPr>
    </w:p>
    <w:p>
      <w:pPr>
        <w:widowControl w:val="0"/>
        <w:wordWrap/>
        <w:adjustRightInd/>
        <w:snapToGrid/>
        <w:ind w:firstLine="640" w:firstLineChars="200"/>
        <w:jc w:val="both"/>
        <w:textAlignment w:val="auto"/>
        <w:rPr>
          <w:rFonts w:hint="eastAsia" w:ascii="宋体" w:hAnsi="宋体" w:eastAsia="宋体" w:cs="宋体"/>
          <w:sz w:val="24"/>
          <w:szCs w:val="24"/>
          <w:lang w:val="en-US" w:eastAsia="zh-CN"/>
        </w:rPr>
      </w:pPr>
    </w:p>
    <w:p>
      <w:pPr>
        <w:widowControl w:val="0"/>
        <w:wordWrap/>
        <w:adjustRightInd/>
        <w:snapToGrid/>
        <w:ind w:firstLine="640" w:firstLineChars="200"/>
        <w:jc w:val="both"/>
        <w:textAlignment w:val="auto"/>
        <w:rPr>
          <w:rFonts w:hint="eastAsia" w:ascii="仿宋" w:hAnsi="仿宋" w:eastAsia="仿宋" w:cs="仿宋"/>
          <w:sz w:val="32"/>
          <w:szCs w:val="32"/>
          <w:lang w:val="en-US" w:eastAsia="zh-CN"/>
        </w:rPr>
      </w:pPr>
    </w:p>
    <w:p>
      <w:pPr>
        <w:widowControl w:val="0"/>
        <w:wordWrap/>
        <w:adjustRightInd/>
        <w:snapToGrid/>
        <w:ind w:firstLine="640" w:firstLineChars="200"/>
        <w:jc w:val="both"/>
        <w:textAlignment w:val="auto"/>
        <w:rPr>
          <w:rFonts w:hint="eastAsia" w:ascii="仿宋" w:hAnsi="仿宋" w:eastAsia="仿宋" w:cs="仿宋"/>
          <w:sz w:val="32"/>
          <w:szCs w:val="32"/>
          <w:lang w:val="en-US" w:eastAsia="zh-CN"/>
        </w:rPr>
      </w:pPr>
    </w:p>
    <w:p>
      <w:pPr>
        <w:widowControl w:val="0"/>
        <w:wordWrap/>
        <w:adjustRightInd/>
        <w:snapToGrid/>
        <w:ind w:firstLine="640" w:firstLineChars="200"/>
        <w:jc w:val="both"/>
        <w:textAlignment w:val="auto"/>
        <w:rPr>
          <w:rFonts w:hint="eastAsia" w:ascii="仿宋" w:hAnsi="仿宋" w:eastAsia="仿宋" w:cs="仿宋"/>
          <w:sz w:val="32"/>
          <w:szCs w:val="32"/>
          <w:lang w:val="en-US" w:eastAsia="zh-CN"/>
        </w:rPr>
      </w:pPr>
    </w:p>
    <w:p>
      <w:pPr>
        <w:widowControl w:val="0"/>
        <w:wordWrap/>
        <w:adjustRightInd/>
        <w:snapToGrid/>
        <w:ind w:firstLine="640" w:firstLineChars="200"/>
        <w:jc w:val="both"/>
        <w:textAlignment w:val="auto"/>
        <w:rPr>
          <w:rFonts w:hint="eastAsia" w:ascii="仿宋" w:hAnsi="仿宋" w:eastAsia="仿宋" w:cs="仿宋"/>
          <w:sz w:val="32"/>
          <w:szCs w:val="32"/>
          <w:lang w:val="en-US" w:eastAsia="zh-CN"/>
        </w:rPr>
      </w:pPr>
    </w:p>
    <w:p>
      <w:pPr>
        <w:widowControl w:val="0"/>
        <w:wordWrap/>
        <w:adjustRightInd/>
        <w:snapToGrid/>
        <w:jc w:val="both"/>
        <w:textAlignment w:val="auto"/>
        <w:rPr>
          <w:rFonts w:hint="default" w:ascii="仿宋" w:hAnsi="仿宋" w:eastAsia="仿宋" w:cs="仿宋"/>
          <w:sz w:val="32"/>
          <w:szCs w:val="32"/>
          <w:lang w:val="en-US" w:eastAsia="zh-C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新魏">
    <w:altName w:val="宋体"/>
    <w:panose1 w:val="02010800040101010101"/>
    <w:charset w:val="86"/>
    <w:family w:val="auto"/>
    <w:pitch w:val="default"/>
    <w:sig w:usb0="00000001" w:usb1="080F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华文宋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0" w:beforeAutospacing="1" w:after="0" w:afterAutospacing="1"/>
      <w:ind w:left="0" w:right="0"/>
      <w:jc w:val="left"/>
    </w:pPr>
    <w:rPr>
      <w:rFonts w:ascii="Calibri" w:hAnsi="Calibri" w:eastAsia="宋体" w:cs="黑体"/>
      <w:kern w:val="0"/>
      <w:sz w:val="24"/>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2020-01-06T04:51:00Z</dcterms:created>
  <dc:creator>韩俊</dc:creator>
  <cp:lastModifiedBy>Administrator</cp:lastModifiedBy>
  <cp:lastPrinted>2020-01-07T01:11:00Z</cp:lastPrinted>
  <dcterms:modified xsi:type="dcterms:W3CDTF">2023-10-08T06:07:21Z</dcterms:modified>
  <dc:title>长春市九台区工信局2019年                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