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宋体" w:hAnsi="宋体" w:eastAsia="宋体" w:cs="宋体"/>
          <w:i w:val="0"/>
          <w:caps w:val="0"/>
          <w:color w:val="333333"/>
          <w:spacing w:val="0"/>
          <w:sz w:val="36"/>
          <w:szCs w:val="36"/>
        </w:rPr>
      </w:pPr>
      <w:bookmarkStart w:id="0" w:name="_GoBack"/>
    </w:p>
    <w:p>
      <w:pPr>
        <w:pStyle w:val="4"/>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center"/>
        <w:textAlignment w:val="auto"/>
        <w:outlineLvl w:val="9"/>
        <w:rPr>
          <w:rFonts w:hint="eastAsia" w:ascii="宋体" w:hAnsi="宋体" w:eastAsia="宋体" w:cs="宋体"/>
          <w:b/>
          <w:i w:val="0"/>
          <w:caps w:val="0"/>
          <w:color w:val="333333"/>
          <w:spacing w:val="0"/>
          <w:sz w:val="36"/>
          <w:szCs w:val="36"/>
          <w:shd w:val="clear" w:color="080000" w:fill="FFFFFF"/>
          <w:lang w:eastAsia="zh-CN"/>
        </w:rPr>
      </w:pPr>
      <w:r>
        <w:rPr>
          <w:rFonts w:hint="eastAsia" w:ascii="宋体" w:hAnsi="宋体" w:eastAsia="宋体" w:cs="宋体"/>
          <w:b/>
          <w:i w:val="0"/>
          <w:caps w:val="0"/>
          <w:color w:val="333333"/>
          <w:spacing w:val="0"/>
          <w:sz w:val="36"/>
          <w:szCs w:val="36"/>
          <w:shd w:val="clear" w:color="080000" w:fill="FFFFFF"/>
          <w:lang w:val="en-US" w:eastAsia="zh-CN"/>
        </w:rPr>
        <w:t>长春市九台区</w:t>
      </w:r>
      <w:r>
        <w:rPr>
          <w:rFonts w:hint="eastAsia" w:ascii="宋体" w:hAnsi="宋体" w:eastAsia="宋体" w:cs="宋体"/>
          <w:b/>
          <w:i w:val="0"/>
          <w:caps w:val="0"/>
          <w:color w:val="333333"/>
          <w:spacing w:val="0"/>
          <w:sz w:val="36"/>
          <w:szCs w:val="36"/>
          <w:shd w:val="clear" w:color="080000" w:fill="FFFFFF"/>
          <w:lang w:eastAsia="zh-CN"/>
        </w:rPr>
        <w:t>房屋征收中心</w:t>
      </w:r>
      <w:r>
        <w:rPr>
          <w:rFonts w:hint="eastAsia" w:ascii="宋体" w:hAnsi="宋体" w:eastAsia="宋体" w:cs="宋体"/>
          <w:b/>
          <w:i w:val="0"/>
          <w:caps w:val="0"/>
          <w:color w:val="333333"/>
          <w:spacing w:val="0"/>
          <w:sz w:val="36"/>
          <w:szCs w:val="36"/>
          <w:shd w:val="clear" w:color="080000" w:fill="FFFFFF"/>
          <w:lang w:val="en-US" w:eastAsia="zh-CN"/>
        </w:rPr>
        <w:t>2020年</w:t>
      </w:r>
    </w:p>
    <w:p>
      <w:pPr>
        <w:pStyle w:val="4"/>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center"/>
        <w:textAlignment w:val="auto"/>
        <w:outlineLvl w:val="9"/>
        <w:rPr>
          <w:rFonts w:hint="eastAsia" w:ascii="宋体" w:hAnsi="宋体" w:eastAsia="宋体" w:cs="宋体"/>
          <w:i w:val="0"/>
          <w:caps w:val="0"/>
          <w:color w:val="333333"/>
          <w:spacing w:val="0"/>
          <w:sz w:val="36"/>
          <w:szCs w:val="36"/>
          <w:lang w:val="en-US" w:eastAsia="zh-CN"/>
        </w:rPr>
      </w:pPr>
      <w:r>
        <w:rPr>
          <w:rFonts w:hint="eastAsia" w:ascii="宋体" w:hAnsi="宋体" w:eastAsia="宋体" w:cs="宋体"/>
          <w:b/>
          <w:i w:val="0"/>
          <w:caps w:val="0"/>
          <w:color w:val="333333"/>
          <w:spacing w:val="0"/>
          <w:sz w:val="36"/>
          <w:szCs w:val="36"/>
          <w:shd w:val="clear" w:color="080000" w:fill="FFFFFF"/>
        </w:rPr>
        <w:t>政府信息公开工作年度报告</w:t>
      </w:r>
    </w:p>
    <w:bookmarkEnd w:id="0"/>
    <w:p>
      <w:pPr>
        <w:pStyle w:val="4"/>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宋体" w:hAnsi="宋体" w:eastAsia="宋体" w:cs="宋体"/>
          <w:i w:val="0"/>
          <w:caps w:val="0"/>
          <w:color w:val="333333"/>
          <w:spacing w:val="0"/>
          <w:sz w:val="24"/>
          <w:szCs w:val="24"/>
          <w:lang w:val="en-US" w:eastAsia="zh-CN"/>
        </w:rPr>
      </w:pPr>
    </w:p>
    <w:p>
      <w:pPr>
        <w:pStyle w:val="4"/>
        <w:widowControl/>
        <w:numPr>
          <w:numId w:val="0"/>
        </w:numPr>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right="0"/>
        <w:jc w:val="both"/>
        <w:textAlignment w:val="auto"/>
        <w:outlineLvl w:val="9"/>
        <w:rPr>
          <w:rFonts w:hint="eastAsia" w:ascii="宋体" w:hAnsi="宋体" w:eastAsia="宋体" w:cs="宋体"/>
          <w:b/>
          <w:i w:val="0"/>
          <w:caps w:val="0"/>
          <w:color w:val="333333"/>
          <w:spacing w:val="0"/>
          <w:sz w:val="24"/>
          <w:szCs w:val="24"/>
          <w:shd w:val="clear" w:color="080000" w:fill="FFFFFF"/>
        </w:rPr>
      </w:pPr>
      <w:r>
        <w:rPr>
          <w:rFonts w:hint="eastAsia" w:ascii="宋体" w:hAnsi="宋体" w:cs="宋体"/>
          <w:b/>
          <w:i w:val="0"/>
          <w:caps w:val="0"/>
          <w:color w:val="333333"/>
          <w:spacing w:val="0"/>
          <w:sz w:val="24"/>
          <w:szCs w:val="24"/>
          <w:shd w:val="clear" w:color="080000" w:fill="FFFFFF"/>
          <w:lang w:eastAsia="zh-CN"/>
        </w:rPr>
        <w:t>一、</w:t>
      </w:r>
      <w:r>
        <w:rPr>
          <w:rFonts w:hint="eastAsia" w:ascii="宋体" w:hAnsi="宋体" w:eastAsia="宋体" w:cs="宋体"/>
          <w:b/>
          <w:i w:val="0"/>
          <w:caps w:val="0"/>
          <w:color w:val="333333"/>
          <w:spacing w:val="0"/>
          <w:sz w:val="24"/>
          <w:szCs w:val="24"/>
          <w:shd w:val="clear" w:color="080000" w:fill="FFFFFF"/>
        </w:rPr>
        <w:t>总体情况</w:t>
      </w:r>
    </w:p>
    <w:p>
      <w:pPr>
        <w:widowControl/>
        <w:wordWrap/>
        <w:adjustRightInd/>
        <w:snapToGrid/>
        <w:spacing w:before="0" w:line="600" w:lineRule="exact"/>
        <w:ind w:left="0" w:leftChars="0" w:right="0" w:firstLine="640" w:firstLineChars="200"/>
        <w:jc w:val="left"/>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 xml:space="preserve">2020年，我局政府信息公开工作运行正常， 紧紧围绕政务公开新要求，坚持“公开是常态、不公开是例外”为原则，以群众需求为基本出发点，以“精准公开、贴心服务”为主题，强组织、重宣传、拓渠道，着力提升依法公开能力和政务公开质量，切实发挥公开促落实、促规范、促服务的作用。 </w:t>
      </w:r>
    </w:p>
    <w:p>
      <w:pPr>
        <w:widowControl/>
        <w:wordWrap/>
        <w:adjustRightInd/>
        <w:snapToGrid/>
        <w:spacing w:before="0" w:line="600" w:lineRule="exact"/>
        <w:ind w:left="0" w:leftChars="0" w:right="0"/>
        <w:jc w:val="left"/>
        <w:textAlignment w:val="auto"/>
        <w:outlineLvl w:val="9"/>
        <w:rPr>
          <w:rFonts w:hint="eastAsia" w:ascii="楷体" w:hAnsi="楷体" w:eastAsia="楷体" w:cs="楷体"/>
          <w:b w:val="0"/>
          <w:bCs/>
          <w:sz w:val="28"/>
          <w:szCs w:val="28"/>
        </w:rPr>
      </w:pPr>
      <w:r>
        <w:rPr>
          <w:rFonts w:hint="eastAsia" w:ascii="楷体" w:hAnsi="楷体" w:eastAsia="楷体" w:cs="楷体"/>
          <w:b w:val="0"/>
          <w:bCs/>
          <w:color w:val="000000"/>
          <w:kern w:val="0"/>
          <w:sz w:val="24"/>
          <w:szCs w:val="24"/>
          <w:lang w:val="en-US" w:eastAsia="zh-CN"/>
        </w:rPr>
        <w:t>（一）</w:t>
      </w:r>
      <w:r>
        <w:rPr>
          <w:rFonts w:hint="eastAsia" w:ascii="楷体" w:hAnsi="楷体" w:eastAsia="楷体" w:cs="楷体"/>
          <w:b w:val="0"/>
          <w:bCs/>
          <w:i w:val="0"/>
          <w:caps w:val="0"/>
          <w:color w:val="333333"/>
          <w:spacing w:val="0"/>
          <w:sz w:val="24"/>
          <w:szCs w:val="24"/>
          <w:lang w:val="en-US" w:eastAsia="zh-CN"/>
        </w:rPr>
        <w:t>主</w:t>
      </w:r>
      <w:r>
        <w:rPr>
          <w:rFonts w:hint="eastAsia" w:ascii="楷体" w:hAnsi="楷体" w:eastAsia="楷体" w:cs="楷体"/>
          <w:b w:val="0"/>
          <w:bCs/>
          <w:color w:val="000000"/>
          <w:kern w:val="0"/>
          <w:sz w:val="24"/>
          <w:szCs w:val="24"/>
          <w:lang w:val="en-US" w:eastAsia="zh-CN"/>
        </w:rPr>
        <w:t>动公开政府信息情况</w:t>
      </w:r>
      <w:r>
        <w:rPr>
          <w:rFonts w:hint="eastAsia" w:ascii="楷体" w:hAnsi="楷体" w:eastAsia="楷体" w:cs="楷体"/>
          <w:b w:val="0"/>
          <w:bCs/>
          <w:color w:val="000000"/>
          <w:kern w:val="0"/>
          <w:sz w:val="28"/>
          <w:szCs w:val="28"/>
          <w:lang w:val="en-US" w:eastAsia="zh-CN"/>
        </w:rPr>
        <w:t xml:space="preserve"> </w:t>
      </w:r>
    </w:p>
    <w:p>
      <w:pPr>
        <w:widowControl/>
        <w:wordWrap/>
        <w:adjustRightInd/>
        <w:snapToGrid/>
        <w:spacing w:before="0" w:line="600" w:lineRule="exact"/>
        <w:ind w:left="0" w:leftChars="0" w:right="0" w:firstLine="640" w:firstLineChars="200"/>
        <w:jc w:val="left"/>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对《房征收与补偿条例》等法规政策广泛宣传，通过政府网站、等方式向社会公布对房屋征收补偿方案、征收决定、补偿标准及奖励、等以公告的方式在征收范围内进行公布；对征收范围内房屋的调查结果、分户初步评估结果及分户房屋的补偿情况在征收范围内向被征收人公布，补偿方案、规范性文件等在政府信息网上进行公布。</w:t>
      </w:r>
    </w:p>
    <w:p>
      <w:pPr>
        <w:widowControl/>
        <w:wordWrap/>
        <w:adjustRightInd/>
        <w:snapToGrid/>
        <w:spacing w:before="0" w:line="600" w:lineRule="exact"/>
        <w:ind w:left="0" w:leftChars="0" w:right="0"/>
        <w:jc w:val="left"/>
        <w:textAlignment w:val="auto"/>
        <w:outlineLvl w:val="9"/>
        <w:rPr>
          <w:rFonts w:hint="eastAsia" w:ascii="楷体" w:hAnsi="楷体" w:eastAsia="楷体" w:cs="楷体"/>
          <w:b w:val="0"/>
          <w:bCs/>
          <w:color w:val="000000"/>
          <w:kern w:val="0"/>
          <w:sz w:val="24"/>
          <w:szCs w:val="24"/>
          <w:lang w:val="en-US" w:eastAsia="zh-CN"/>
        </w:rPr>
      </w:pPr>
      <w:r>
        <w:rPr>
          <w:rFonts w:hint="eastAsia" w:ascii="楷体" w:hAnsi="楷体" w:eastAsia="楷体" w:cs="楷体"/>
          <w:b w:val="0"/>
          <w:bCs/>
          <w:color w:val="000000"/>
          <w:kern w:val="0"/>
          <w:sz w:val="24"/>
          <w:szCs w:val="24"/>
          <w:lang w:val="en-US" w:eastAsia="zh-CN"/>
        </w:rPr>
        <w:t>（二）积极回应社会关切并开展政策解读</w:t>
      </w:r>
    </w:p>
    <w:p>
      <w:pPr>
        <w:widowControl/>
        <w:wordWrap/>
        <w:adjustRightInd/>
        <w:snapToGrid/>
        <w:spacing w:before="0" w:line="600" w:lineRule="exact"/>
        <w:ind w:left="0" w:leftChars="0" w:right="0" w:firstLine="640" w:firstLineChars="200"/>
        <w:jc w:val="left"/>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我们通过多渠道向群众进行政策解读，一是信访渠道。通过电话来访、平台来访等，向群众宣讲政策。二是政务公开。通过政务公开主动公布相关解读信息，有力助推了征收工作加速推进。</w:t>
      </w:r>
    </w:p>
    <w:p>
      <w:pPr>
        <w:widowControl/>
        <w:wordWrap/>
        <w:adjustRightInd/>
        <w:snapToGrid/>
        <w:spacing w:before="0" w:line="600" w:lineRule="exact"/>
        <w:ind w:left="0" w:leftChars="0" w:right="0"/>
        <w:jc w:val="left"/>
        <w:textAlignment w:val="auto"/>
        <w:outlineLvl w:val="9"/>
        <w:rPr>
          <w:rFonts w:hint="eastAsia" w:ascii="楷体" w:hAnsi="楷体" w:eastAsia="楷体" w:cs="楷体"/>
          <w:b w:val="0"/>
          <w:bCs/>
          <w:color w:val="000000"/>
          <w:kern w:val="0"/>
          <w:sz w:val="24"/>
          <w:szCs w:val="24"/>
          <w:lang w:val="en-US" w:eastAsia="zh-CN"/>
        </w:rPr>
      </w:pPr>
      <w:r>
        <w:rPr>
          <w:rFonts w:hint="eastAsia" w:ascii="楷体" w:hAnsi="楷体" w:eastAsia="楷体" w:cs="楷体"/>
          <w:b w:val="0"/>
          <w:bCs/>
          <w:color w:val="000000"/>
          <w:kern w:val="0"/>
          <w:sz w:val="24"/>
          <w:szCs w:val="24"/>
          <w:lang w:val="en-US" w:eastAsia="zh-CN"/>
        </w:rPr>
        <w:t>（三）健全工作制度</w:t>
      </w:r>
    </w:p>
    <w:p>
      <w:pPr>
        <w:widowControl/>
        <w:wordWrap/>
        <w:adjustRightInd/>
        <w:snapToGrid/>
        <w:spacing w:before="0" w:line="600" w:lineRule="exact"/>
        <w:ind w:left="0" w:leftChars="0" w:right="0" w:firstLine="640" w:firstLineChars="200"/>
        <w:jc w:val="left"/>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我局将信息公开工作建立完善规章制度，增强工作力量，进一步推进信息公开，形成保障体系。建立健全信息内容拟定、报送、审核、发布等工作制度，保证公开内容及时公布，确保政府信息公开工作扎实推进。</w:t>
      </w:r>
    </w:p>
    <w:p>
      <w:pPr>
        <w:pStyle w:val="4"/>
        <w:widowControl/>
        <w:numPr>
          <w:numId w:val="0"/>
        </w:numPr>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right="0"/>
        <w:jc w:val="both"/>
        <w:textAlignment w:val="auto"/>
        <w:outlineLvl w:val="9"/>
        <w:rPr>
          <w:rFonts w:hint="eastAsia" w:ascii="宋体" w:hAnsi="宋体" w:eastAsia="宋体" w:cs="宋体"/>
          <w:b/>
          <w:i w:val="0"/>
          <w:caps w:val="0"/>
          <w:color w:val="333333"/>
          <w:spacing w:val="0"/>
          <w:sz w:val="24"/>
          <w:szCs w:val="24"/>
          <w:shd w:val="clear" w:color="080000" w:fill="FFFFFF"/>
        </w:rPr>
      </w:pPr>
      <w:r>
        <w:rPr>
          <w:rFonts w:hint="eastAsia" w:ascii="宋体" w:hAnsi="宋体" w:eastAsia="宋体" w:cs="宋体"/>
          <w:b/>
          <w:i w:val="0"/>
          <w:caps w:val="0"/>
          <w:color w:val="333333"/>
          <w:spacing w:val="0"/>
          <w:sz w:val="24"/>
          <w:szCs w:val="24"/>
          <w:shd w:val="clear" w:color="080000" w:fill="FFFFFF"/>
          <w:lang w:val="en-US" w:eastAsia="zh-CN"/>
        </w:rPr>
        <w:t>二、主动公开政府信息情况</w:t>
      </w:r>
    </w:p>
    <w:tbl>
      <w:tblPr>
        <w:tblpPr w:leftFromText="180" w:rightFromText="180" w:vertAnchor="text" w:horzAnchor="page" w:tblpX="1854" w:tblpY="285"/>
        <w:tblOverlap w:val="never"/>
        <w:tblW w:w="81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13"/>
        <w:gridCol w:w="1875"/>
        <w:gridCol w:w="6"/>
        <w:gridCol w:w="1265"/>
        <w:gridCol w:w="1881"/>
      </w:tblGrid>
      <w:tr>
        <w:trPr>
          <w:trHeight w:val="495" w:hRule="atLeast"/>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第二十条第（一）项</w:t>
            </w:r>
          </w:p>
        </w:tc>
      </w:tr>
      <w:tr>
        <w:trPr>
          <w:trHeight w:val="882" w:hRule="atLeas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本年新</w:t>
            </w:r>
            <w:r>
              <w:rPr>
                <w:rFonts w:hint="eastAsia" w:ascii="宋体" w:hAnsi="宋体" w:eastAsia="宋体" w:cs="宋体"/>
                <w:color w:val="000000"/>
                <w:kern w:val="0"/>
                <w:sz w:val="20"/>
                <w:szCs w:val="20"/>
                <w:lang w:val="en-US" w:eastAsia="zh-CN"/>
              </w:rPr>
              <w:br/>
            </w:r>
            <w:r>
              <w:rPr>
                <w:rFonts w:hint="eastAsia" w:ascii="宋体" w:hAnsi="宋体" w:eastAsia="宋体" w:cs="宋体"/>
                <w:kern w:val="0"/>
                <w:sz w:val="20"/>
                <w:szCs w:val="20"/>
                <w:lang w:val="en-US" w:eastAsia="zh-CN"/>
              </w:rPr>
              <w:t>制作数量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本年新</w:t>
            </w:r>
            <w:r>
              <w:rPr>
                <w:rFonts w:hint="eastAsia" w:ascii="宋体" w:hAnsi="宋体" w:eastAsia="宋体" w:cs="宋体"/>
                <w:color w:val="000000"/>
                <w:kern w:val="0"/>
                <w:sz w:val="20"/>
                <w:szCs w:val="20"/>
                <w:lang w:val="en-US" w:eastAsia="zh-CN"/>
              </w:rPr>
              <w:br/>
            </w:r>
            <w:r>
              <w:rPr>
                <w:rFonts w:hint="eastAsia" w:ascii="宋体" w:hAnsi="宋体" w:eastAsia="宋体" w:cs="宋体"/>
                <w:kern w:val="0"/>
                <w:sz w:val="20"/>
                <w:szCs w:val="20"/>
                <w:lang w:val="en-US" w:eastAsia="zh-CN"/>
              </w:rPr>
              <w:t>公开数量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对外公开总数量</w:t>
            </w:r>
          </w:p>
        </w:tc>
      </w:tr>
      <w:tr>
        <w:trPr>
          <w:trHeight w:val="432" w:hRule="atLeas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规章</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rPr>
          <w:trHeight w:val="492" w:hRule="atLeas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规范性文件</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rPr>
          <w:trHeight w:val="480" w:hRule="atLeast"/>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第二十条第（五）项</w:t>
            </w:r>
          </w:p>
        </w:tc>
      </w:tr>
      <w:tr>
        <w:trPr>
          <w:trHeight w:val="634" w:hRule="atLeas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处理决定数量</w:t>
            </w:r>
          </w:p>
        </w:tc>
      </w:tr>
      <w:tr>
        <w:trPr>
          <w:trHeight w:val="528" w:hRule="atLeas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行政许可</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rPr>
          <w:trHeight w:val="550" w:hRule="atLeas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其他对外管理服务事项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rPr>
          <w:trHeight w:val="406" w:hRule="atLeast"/>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第二十条第（六）项</w:t>
            </w:r>
          </w:p>
        </w:tc>
      </w:tr>
      <w:tr>
        <w:trPr>
          <w:trHeight w:val="634" w:hRule="atLeas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eastAsia="zh-CN"/>
              </w:rPr>
            </w:pPr>
            <w:r>
              <w:rPr>
                <w:rFonts w:hint="eastAsia" w:ascii="宋体" w:hAnsi="宋体" w:eastAsia="宋体" w:cs="宋体"/>
                <w:sz w:val="20"/>
                <w:szCs w:val="20"/>
                <w:lang w:eastAsia="zh-CN"/>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处理决定数量</w:t>
            </w:r>
          </w:p>
        </w:tc>
      </w:tr>
      <w:tr>
        <w:trPr>
          <w:trHeight w:val="430" w:hRule="atLeas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行政处罚</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color w:val="000000"/>
                <w:kern w:val="0"/>
                <w:sz w:val="20"/>
                <w:szCs w:val="20"/>
                <w:lang w:val="en-US" w:eastAsia="zh-CN"/>
              </w:rPr>
              <w:t>0</w:t>
            </w:r>
          </w:p>
        </w:tc>
      </w:tr>
      <w:tr>
        <w:trPr>
          <w:trHeight w:val="409" w:hRule="atLeas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行政强制</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0</w:t>
            </w:r>
          </w:p>
        </w:tc>
      </w:tr>
      <w:tr>
        <w:trPr>
          <w:trHeight w:val="474" w:hRule="atLeast"/>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第二十条第（八）项</w:t>
            </w:r>
          </w:p>
        </w:tc>
      </w:tr>
      <w:tr>
        <w:trPr>
          <w:trHeight w:val="270" w:hRule="atLeas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left"/>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上一年项目数量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本年增/减</w:t>
            </w:r>
          </w:p>
        </w:tc>
      </w:tr>
      <w:tr>
        <w:trPr>
          <w:trHeight w:val="551" w:hRule="atLeas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行政事业性收费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0</w:t>
            </w:r>
          </w:p>
        </w:tc>
      </w:tr>
      <w:tr>
        <w:trPr>
          <w:trHeight w:val="476" w:hRule="atLeast"/>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第二十条第（九）项</w:t>
            </w:r>
          </w:p>
        </w:tc>
      </w:tr>
      <w:tr>
        <w:trPr>
          <w:trHeight w:val="585" w:hRule="atLeas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采购项目数量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采购总金额</w:t>
            </w:r>
          </w:p>
        </w:tc>
      </w:tr>
      <w:tr>
        <w:trPr>
          <w:trHeight w:val="709" w:hRule="atLeas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政府集中采购</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rPr>
          <w:trHeight w:val="539" w:hRule="atLeast"/>
        </w:trPr>
        <w:tc>
          <w:tcPr>
            <w:tcW w:w="8140" w:type="dxa"/>
            <w:gridSpan w:val="5"/>
            <w:tcBorders>
              <w:top w:val="nil"/>
              <w:left w:val="single" w:color="auto" w:sz="8" w:space="0"/>
              <w:bottom w:val="single" w:color="auto" w:sz="8" w:space="0"/>
              <w:right w:val="single" w:color="000000" w:sz="8" w:space="0"/>
            </w:tcBorders>
            <w:tcMar>
              <w:left w:w="108" w:type="dxa"/>
              <w:right w:w="108" w:type="dxa"/>
            </w:tcMar>
            <w:vAlign w:val="center"/>
          </w:tcPr>
          <w:p>
            <w:pPr>
              <w:wordWrap/>
              <w:adjustRightInd/>
              <w:snapToGrid/>
              <w:spacing w:before="0" w:line="600" w:lineRule="exact"/>
              <w:ind w:left="0" w:leftChars="0" w:right="0"/>
              <w:textAlignment w:val="auto"/>
              <w:outlineLvl w:val="9"/>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2020年本行政区域（或本部门）政府信息公开发布总数量（非新闻类、消息类）：</w:t>
            </w:r>
            <w:r>
              <w:rPr>
                <w:rFonts w:hint="eastAsia" w:ascii="宋体" w:hAnsi="宋体" w:eastAsia="宋体" w:cs="宋体"/>
                <w:color w:val="000000"/>
                <w:kern w:val="0"/>
                <w:sz w:val="20"/>
                <w:szCs w:val="20"/>
                <w:lang w:val="en-US" w:eastAsia="zh-CN"/>
              </w:rPr>
              <w:t>0</w:t>
            </w:r>
          </w:p>
        </w:tc>
      </w:tr>
    </w:tbl>
    <w:p>
      <w:pPr>
        <w:pStyle w:val="4"/>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240" w:afterAutospacing="0" w:line="600" w:lineRule="exact"/>
        <w:ind w:right="0"/>
        <w:jc w:val="both"/>
        <w:textAlignment w:val="auto"/>
        <w:outlineLvl w:val="9"/>
        <w:rPr>
          <w:rFonts w:hint="eastAsia" w:ascii="宋体" w:hAnsi="宋体" w:eastAsia="宋体" w:cs="宋体"/>
          <w:b/>
          <w:bCs w:val="0"/>
          <w:i w:val="0"/>
          <w:caps w:val="0"/>
          <w:color w:val="333333"/>
          <w:spacing w:val="0"/>
          <w:sz w:val="24"/>
          <w:szCs w:val="24"/>
        </w:rPr>
      </w:pPr>
      <w:r>
        <w:rPr>
          <w:rFonts w:hint="eastAsia" w:ascii="宋体" w:hAnsi="宋体" w:eastAsia="宋体" w:cs="宋体"/>
          <w:b/>
          <w:bCs w:val="0"/>
          <w:i w:val="0"/>
          <w:caps w:val="0"/>
          <w:color w:val="333333"/>
          <w:spacing w:val="0"/>
          <w:sz w:val="24"/>
          <w:szCs w:val="24"/>
          <w:shd w:val="clear" w:color="080000" w:fill="FFFFFF"/>
        </w:rPr>
        <w:t>三、收到和处理政府信息公开申请情况</w:t>
      </w: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6"/>
        <w:gridCol w:w="853"/>
        <w:gridCol w:w="2080"/>
        <w:gridCol w:w="820"/>
        <w:gridCol w:w="755"/>
        <w:gridCol w:w="755"/>
        <w:gridCol w:w="813"/>
        <w:gridCol w:w="973"/>
        <w:gridCol w:w="712"/>
        <w:gridCol w:w="694"/>
      </w:tblGrid>
      <w:tr>
        <w:trPr>
          <w:jc w:val="center"/>
        </w:trPr>
        <w:tc>
          <w:tcPr>
            <w:tcW w:w="3549"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both"/>
              <w:textAlignment w:val="auto"/>
              <w:outlineLvl w:val="9"/>
              <w:rPr>
                <w:rFonts w:hint="eastAsia" w:ascii="宋体" w:hAnsi="宋体" w:eastAsia="宋体" w:cs="宋体"/>
                <w:kern w:val="0"/>
                <w:sz w:val="20"/>
                <w:szCs w:val="20"/>
                <w:lang w:val="en-US" w:eastAsia="zh-CN"/>
              </w:rPr>
            </w:pPr>
            <w:r>
              <w:rPr>
                <w:rFonts w:hint="eastAsia" w:ascii="宋体" w:hAnsi="宋体" w:cs="宋体"/>
                <w:kern w:val="0"/>
                <w:sz w:val="20"/>
                <w:szCs w:val="20"/>
              </w:rPr>
              <w:t>（本列数据的勾稽关系为：第一项加第二项之和，等于第三项加第四项之和）</w:t>
            </w:r>
          </w:p>
        </w:tc>
        <w:tc>
          <w:tcPr>
            <w:tcW w:w="5522"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申请人情况</w:t>
            </w:r>
          </w:p>
        </w:tc>
      </w:tr>
      <w:tr>
        <w:trPr>
          <w:jc w:val="center"/>
        </w:trPr>
        <w:tc>
          <w:tcPr>
            <w:tcW w:w="3549"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textAlignment w:val="auto"/>
              <w:outlineLvl w:val="9"/>
              <w:rPr>
                <w:rFonts w:hint="eastAsia" w:ascii="宋体" w:hAnsi="宋体" w:eastAsia="宋体" w:cs="宋体"/>
                <w:sz w:val="20"/>
                <w:szCs w:val="20"/>
              </w:rPr>
            </w:pPr>
          </w:p>
        </w:tc>
        <w:tc>
          <w:tcPr>
            <w:tcW w:w="820"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自然人</w:t>
            </w:r>
          </w:p>
        </w:tc>
        <w:tc>
          <w:tcPr>
            <w:tcW w:w="4008"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法人或其他组织</w:t>
            </w:r>
          </w:p>
        </w:tc>
        <w:tc>
          <w:tcPr>
            <w:tcW w:w="69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总计</w:t>
            </w:r>
          </w:p>
        </w:tc>
      </w:tr>
      <w:tr>
        <w:trPr>
          <w:trHeight w:val="1260" w:hRule="atLeast"/>
          <w:jc w:val="center"/>
        </w:trPr>
        <w:tc>
          <w:tcPr>
            <w:tcW w:w="3549"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textAlignment w:val="auto"/>
              <w:outlineLvl w:val="9"/>
              <w:rPr>
                <w:rFonts w:hint="eastAsia" w:ascii="宋体" w:hAnsi="宋体" w:eastAsia="宋体" w:cs="宋体"/>
                <w:sz w:val="20"/>
                <w:szCs w:val="20"/>
              </w:rPr>
            </w:pPr>
          </w:p>
        </w:tc>
        <w:tc>
          <w:tcPr>
            <w:tcW w:w="820"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textAlignment w:val="auto"/>
              <w:outlineLvl w:val="9"/>
              <w:rPr>
                <w:rFonts w:hint="eastAsia" w:ascii="宋体" w:hAnsi="宋体" w:eastAsia="宋体" w:cs="宋体"/>
                <w:sz w:val="20"/>
                <w:szCs w:val="20"/>
              </w:rPr>
            </w:pP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商业企业</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科研机构</w:t>
            </w:r>
          </w:p>
        </w:tc>
        <w:tc>
          <w:tcPr>
            <w:tcW w:w="813"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社会公益组织</w:t>
            </w:r>
          </w:p>
        </w:tc>
        <w:tc>
          <w:tcPr>
            <w:tcW w:w="973"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法律服务机构</w:t>
            </w:r>
          </w:p>
        </w:tc>
        <w:tc>
          <w:tcPr>
            <w:tcW w:w="712"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其他</w:t>
            </w:r>
          </w:p>
        </w:tc>
        <w:tc>
          <w:tcPr>
            <w:tcW w:w="69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textAlignment w:val="auto"/>
              <w:outlineLvl w:val="9"/>
              <w:rPr>
                <w:rFonts w:hint="eastAsia" w:ascii="宋体" w:hAnsi="宋体" w:eastAsia="宋体" w:cs="宋体"/>
                <w:sz w:val="20"/>
                <w:szCs w:val="20"/>
              </w:rPr>
            </w:pPr>
          </w:p>
        </w:tc>
      </w:tr>
      <w:tr>
        <w:trPr>
          <w:jc w:val="center"/>
        </w:trPr>
        <w:tc>
          <w:tcPr>
            <w:tcW w:w="3549"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一、本年新收政府信息公开申请数量</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eastAsia="zh-CN"/>
              </w:rPr>
              <w:t>3</w:t>
            </w:r>
            <w:r>
              <w:rPr>
                <w:rFonts w:hint="eastAsia" w:ascii="宋体" w:hAnsi="宋体" w:eastAsia="宋体" w:cs="宋体"/>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eastAsia="zh-CN"/>
              </w:rPr>
              <w:t>3</w:t>
            </w:r>
          </w:p>
        </w:tc>
      </w:tr>
      <w:tr>
        <w:trPr>
          <w:jc w:val="center"/>
        </w:trPr>
        <w:tc>
          <w:tcPr>
            <w:tcW w:w="3549"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二、上年结转政府信息公开申请数量</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eastAsia="zh-CN"/>
              </w:rPr>
              <w:t>0</w:t>
            </w:r>
            <w:r>
              <w:rPr>
                <w:rFonts w:hint="eastAsia" w:ascii="宋体" w:hAnsi="宋体" w:eastAsia="宋体" w:cs="宋体"/>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eastAsia="zh-CN"/>
              </w:rPr>
              <w:t>0</w:t>
            </w:r>
          </w:p>
        </w:tc>
      </w:tr>
      <w:tr>
        <w:trPr>
          <w:jc w:val="center"/>
        </w:trPr>
        <w:tc>
          <w:tcPr>
            <w:tcW w:w="616"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三、本年度办理结果</w:t>
            </w:r>
          </w:p>
        </w:tc>
        <w:tc>
          <w:tcPr>
            <w:tcW w:w="293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both"/>
              <w:textAlignment w:val="auto"/>
              <w:outlineLvl w:val="9"/>
              <w:rPr>
                <w:rFonts w:hint="eastAsia" w:ascii="楷体" w:hAnsi="楷体" w:eastAsia="楷体" w:cs="楷体"/>
                <w:sz w:val="20"/>
                <w:szCs w:val="20"/>
              </w:rPr>
            </w:pPr>
            <w:r>
              <w:rPr>
                <w:rFonts w:hint="eastAsia" w:ascii="楷体" w:hAnsi="楷体" w:eastAsia="楷体" w:cs="楷体"/>
                <w:kern w:val="0"/>
                <w:sz w:val="20"/>
                <w:szCs w:val="20"/>
                <w:lang w:val="en-US" w:eastAsia="zh-CN"/>
              </w:rPr>
              <w:t>（一）予以公开</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eastAsia="zh-CN"/>
              </w:rPr>
              <w:t>3</w:t>
            </w:r>
            <w:r>
              <w:rPr>
                <w:rFonts w:hint="eastAsia" w:ascii="宋体" w:hAnsi="宋体" w:eastAsia="宋体" w:cs="宋体"/>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 </w:t>
            </w:r>
            <w:r>
              <w:rPr>
                <w:rFonts w:hint="eastAsia" w:ascii="宋体" w:hAnsi="宋体" w:eastAsia="宋体" w:cs="宋体"/>
                <w:kern w:val="0"/>
                <w:sz w:val="20"/>
                <w:szCs w:val="20"/>
                <w:lang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eastAsia="zh-CN"/>
              </w:rPr>
              <w:t>0</w:t>
            </w:r>
            <w:r>
              <w:rPr>
                <w:rFonts w:hint="eastAsia" w:ascii="宋体" w:hAnsi="宋体" w:eastAsia="宋体" w:cs="宋体"/>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 </w:t>
            </w:r>
            <w:r>
              <w:rPr>
                <w:rFonts w:hint="eastAsia" w:ascii="宋体" w:hAnsi="宋体" w:eastAsia="宋体" w:cs="宋体"/>
                <w:kern w:val="0"/>
                <w:sz w:val="20"/>
                <w:szCs w:val="20"/>
                <w:lang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eastAsia="zh-CN"/>
              </w:rPr>
              <w:t>0</w:t>
            </w:r>
            <w:r>
              <w:rPr>
                <w:rFonts w:hint="eastAsia" w:ascii="宋体" w:hAnsi="宋体" w:eastAsia="宋体" w:cs="宋体"/>
                <w:kern w:val="0"/>
                <w:sz w:val="20"/>
                <w:szCs w:val="20"/>
                <w:lang w:val="en-US" w:eastAsia="zh-CN"/>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eastAsia="zh-CN"/>
              </w:rPr>
              <w:t>0</w:t>
            </w:r>
            <w:r>
              <w:rPr>
                <w:rFonts w:hint="eastAsia" w:ascii="宋体" w:hAnsi="宋体" w:eastAsia="宋体" w:cs="宋体"/>
                <w:kern w:val="0"/>
                <w:sz w:val="20"/>
                <w:szCs w:val="20"/>
                <w:lang w:val="en-US" w:eastAsia="zh-CN"/>
              </w:rPr>
              <w:t> </w:t>
            </w:r>
          </w:p>
        </w:tc>
        <w:tc>
          <w:tcPr>
            <w:tcW w:w="694"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eastAsia="zh-CN"/>
              </w:rPr>
              <w:t>3</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宋体" w:hAnsi="宋体" w:eastAsia="宋体" w:cs="宋体"/>
                <w:sz w:val="20"/>
                <w:szCs w:val="20"/>
              </w:rPr>
            </w:pPr>
          </w:p>
        </w:tc>
        <w:tc>
          <w:tcPr>
            <w:tcW w:w="293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楷体" w:hAnsi="楷体" w:eastAsia="楷体" w:cs="楷体"/>
                <w:sz w:val="20"/>
                <w:szCs w:val="20"/>
              </w:rPr>
            </w:pPr>
            <w:r>
              <w:rPr>
                <w:rFonts w:hint="eastAsia" w:ascii="楷体" w:hAnsi="楷体" w:eastAsia="楷体" w:cs="楷体"/>
                <w:kern w:val="0"/>
                <w:sz w:val="20"/>
                <w:szCs w:val="20"/>
                <w:lang w:val="en-US" w:eastAsia="zh-CN"/>
              </w:rPr>
              <w:t>（二）部分公开（区分处理的，只计这一情形，不计其他情形）</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eastAsia="zh-CN"/>
              </w:rPr>
              <w:t>0</w:t>
            </w:r>
            <w:r>
              <w:rPr>
                <w:rFonts w:hint="eastAsia" w:ascii="宋体" w:hAnsi="宋体" w:eastAsia="宋体" w:cs="宋体"/>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 </w:t>
            </w:r>
            <w:r>
              <w:rPr>
                <w:rFonts w:hint="eastAsia" w:ascii="宋体" w:hAnsi="宋体" w:eastAsia="宋体" w:cs="宋体"/>
                <w:kern w:val="0"/>
                <w:sz w:val="20"/>
                <w:szCs w:val="20"/>
                <w:lang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 </w:t>
            </w:r>
            <w:r>
              <w:rPr>
                <w:rFonts w:hint="eastAsia" w:ascii="宋体" w:hAnsi="宋体" w:eastAsia="宋体" w:cs="宋体"/>
                <w:kern w:val="0"/>
                <w:sz w:val="20"/>
                <w:szCs w:val="20"/>
                <w:lang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eastAsia="zh-CN"/>
              </w:rPr>
              <w:t>0</w:t>
            </w:r>
            <w:r>
              <w:rPr>
                <w:rFonts w:hint="eastAsia" w:ascii="宋体" w:hAnsi="宋体" w:eastAsia="宋体" w:cs="宋体"/>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 </w:t>
            </w:r>
            <w:r>
              <w:rPr>
                <w:rFonts w:hint="eastAsia" w:ascii="宋体" w:hAnsi="宋体" w:eastAsia="宋体" w:cs="宋体"/>
                <w:kern w:val="0"/>
                <w:sz w:val="20"/>
                <w:szCs w:val="20"/>
                <w:lang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eastAsia="zh-CN"/>
              </w:rPr>
              <w:t>0</w:t>
            </w:r>
            <w:r>
              <w:rPr>
                <w:rFonts w:hint="eastAsia" w:ascii="宋体" w:hAnsi="宋体" w:eastAsia="宋体" w:cs="宋体"/>
                <w:kern w:val="0"/>
                <w:sz w:val="20"/>
                <w:szCs w:val="20"/>
                <w:lang w:val="en-US" w:eastAsia="zh-CN"/>
              </w:rPr>
              <w:t> </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宋体" w:hAnsi="宋体" w:eastAsia="宋体" w:cs="宋体"/>
                <w:sz w:val="20"/>
                <w:szCs w:val="20"/>
              </w:rPr>
            </w:pPr>
          </w:p>
        </w:tc>
        <w:tc>
          <w:tcPr>
            <w:tcW w:w="853"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楷体" w:hAnsi="楷体" w:eastAsia="楷体" w:cs="楷体"/>
                <w:sz w:val="20"/>
                <w:szCs w:val="20"/>
              </w:rPr>
            </w:pPr>
            <w:r>
              <w:rPr>
                <w:rFonts w:hint="eastAsia" w:ascii="楷体" w:hAnsi="楷体" w:eastAsia="楷体" w:cs="楷体"/>
                <w:kern w:val="0"/>
                <w:sz w:val="20"/>
                <w:szCs w:val="20"/>
                <w:lang w:val="en-US" w:eastAsia="zh-CN"/>
              </w:rPr>
              <w:t>（三）不予公开</w:t>
            </w:r>
          </w:p>
        </w:tc>
        <w:tc>
          <w:tcPr>
            <w:tcW w:w="208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楷体" w:hAnsi="楷体" w:eastAsia="楷体" w:cs="楷体"/>
                <w:sz w:val="20"/>
                <w:szCs w:val="20"/>
              </w:rPr>
            </w:pPr>
            <w:r>
              <w:rPr>
                <w:rFonts w:hint="eastAsia" w:ascii="楷体" w:hAnsi="楷体" w:eastAsia="楷体" w:cs="楷体"/>
                <w:kern w:val="0"/>
                <w:sz w:val="20"/>
                <w:szCs w:val="20"/>
                <w:lang w:val="en-US" w:eastAsia="zh-CN"/>
              </w:rPr>
              <w:t>1.属于国家秘密</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694"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 </w:t>
            </w:r>
            <w:r>
              <w:rPr>
                <w:rFonts w:hint="eastAsia" w:ascii="宋体" w:hAnsi="宋体" w:eastAsia="宋体" w:cs="宋体"/>
                <w:kern w:val="0"/>
                <w:sz w:val="20"/>
                <w:szCs w:val="20"/>
                <w:lang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宋体" w:hAnsi="宋体" w:eastAsia="宋体" w:cs="宋体"/>
                <w:sz w:val="20"/>
                <w:szCs w:val="20"/>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楷体" w:hAnsi="楷体" w:eastAsia="楷体" w:cs="楷体"/>
                <w:sz w:val="20"/>
                <w:szCs w:val="20"/>
              </w:rPr>
            </w:pPr>
          </w:p>
        </w:tc>
        <w:tc>
          <w:tcPr>
            <w:tcW w:w="208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楷体" w:hAnsi="楷体" w:eastAsia="楷体" w:cs="楷体"/>
                <w:sz w:val="20"/>
                <w:szCs w:val="20"/>
              </w:rPr>
            </w:pPr>
            <w:r>
              <w:rPr>
                <w:rFonts w:hint="eastAsia" w:ascii="楷体" w:hAnsi="楷体" w:eastAsia="楷体" w:cs="楷体"/>
                <w:kern w:val="0"/>
                <w:sz w:val="20"/>
                <w:szCs w:val="20"/>
                <w:lang w:val="en-US" w:eastAsia="zh-CN"/>
              </w:rPr>
              <w:t>2.其他法律行政法规禁止公开</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宋体" w:hAnsi="宋体" w:eastAsia="宋体" w:cs="宋体"/>
                <w:sz w:val="20"/>
                <w:szCs w:val="20"/>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宋体" w:hAnsi="宋体" w:eastAsia="宋体" w:cs="宋体"/>
                <w:sz w:val="20"/>
                <w:szCs w:val="20"/>
              </w:rPr>
            </w:pPr>
          </w:p>
        </w:tc>
        <w:tc>
          <w:tcPr>
            <w:tcW w:w="208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楷体" w:hAnsi="楷体" w:eastAsia="楷体" w:cs="楷体"/>
                <w:sz w:val="20"/>
                <w:szCs w:val="20"/>
              </w:rPr>
            </w:pPr>
            <w:r>
              <w:rPr>
                <w:rFonts w:hint="eastAsia" w:ascii="楷体" w:hAnsi="楷体" w:eastAsia="楷体" w:cs="楷体"/>
                <w:kern w:val="0"/>
                <w:sz w:val="20"/>
                <w:szCs w:val="20"/>
                <w:lang w:val="en-US" w:eastAsia="zh-CN"/>
              </w:rPr>
              <w:t>3.危及“三安全一稳定”</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 </w:t>
            </w:r>
            <w:r>
              <w:rPr>
                <w:rFonts w:hint="eastAsia" w:ascii="宋体" w:hAnsi="宋体" w:eastAsia="宋体" w:cs="宋体"/>
                <w:kern w:val="0"/>
                <w:sz w:val="20"/>
                <w:szCs w:val="20"/>
                <w:lang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宋体" w:hAnsi="宋体" w:eastAsia="宋体" w:cs="宋体"/>
                <w:sz w:val="20"/>
                <w:szCs w:val="20"/>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宋体" w:hAnsi="宋体" w:eastAsia="宋体" w:cs="宋体"/>
                <w:sz w:val="20"/>
                <w:szCs w:val="20"/>
              </w:rPr>
            </w:pPr>
          </w:p>
        </w:tc>
        <w:tc>
          <w:tcPr>
            <w:tcW w:w="208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楷体" w:hAnsi="楷体" w:eastAsia="楷体" w:cs="楷体"/>
                <w:sz w:val="20"/>
                <w:szCs w:val="20"/>
              </w:rPr>
            </w:pPr>
            <w:r>
              <w:rPr>
                <w:rFonts w:hint="eastAsia" w:ascii="楷体" w:hAnsi="楷体" w:eastAsia="楷体" w:cs="楷体"/>
                <w:kern w:val="0"/>
                <w:sz w:val="20"/>
                <w:szCs w:val="20"/>
                <w:lang w:val="en-US" w:eastAsia="zh-CN"/>
              </w:rPr>
              <w:t>4.保护第三方合法权益</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宋体" w:hAnsi="宋体" w:eastAsia="宋体" w:cs="宋体"/>
                <w:sz w:val="20"/>
                <w:szCs w:val="20"/>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宋体" w:hAnsi="宋体" w:eastAsia="宋体" w:cs="宋体"/>
                <w:sz w:val="20"/>
                <w:szCs w:val="20"/>
              </w:rPr>
            </w:pPr>
          </w:p>
        </w:tc>
        <w:tc>
          <w:tcPr>
            <w:tcW w:w="208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楷体" w:hAnsi="楷体" w:eastAsia="楷体" w:cs="楷体"/>
                <w:sz w:val="20"/>
                <w:szCs w:val="20"/>
              </w:rPr>
            </w:pPr>
            <w:r>
              <w:rPr>
                <w:rFonts w:hint="eastAsia" w:ascii="楷体" w:hAnsi="楷体" w:eastAsia="楷体" w:cs="楷体"/>
                <w:kern w:val="0"/>
                <w:sz w:val="20"/>
                <w:szCs w:val="20"/>
                <w:lang w:val="en-US" w:eastAsia="zh-CN"/>
              </w:rPr>
              <w:t>5.属于三类内部事务信息</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kern w:val="2"/>
                <w:sz w:val="20"/>
                <w:szCs w:val="20"/>
                <w:lang w:eastAsia="zh-CN" w:bidi="ar-SA"/>
              </w:rPr>
            </w:pPr>
            <w:r>
              <w:rPr>
                <w:rFonts w:hint="eastAsia" w:ascii="宋体" w:hAnsi="宋体" w:eastAsia="宋体" w:cs="宋体"/>
                <w:kern w:val="0"/>
                <w:sz w:val="20"/>
                <w:szCs w:val="20"/>
                <w:lang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宋体" w:hAnsi="宋体" w:eastAsia="宋体" w:cs="宋体"/>
                <w:sz w:val="20"/>
                <w:szCs w:val="20"/>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宋体" w:hAnsi="宋体" w:eastAsia="宋体" w:cs="宋体"/>
                <w:sz w:val="20"/>
                <w:szCs w:val="20"/>
              </w:rPr>
            </w:pPr>
          </w:p>
        </w:tc>
        <w:tc>
          <w:tcPr>
            <w:tcW w:w="208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楷体" w:hAnsi="楷体" w:eastAsia="楷体" w:cs="楷体"/>
                <w:sz w:val="20"/>
                <w:szCs w:val="20"/>
              </w:rPr>
            </w:pPr>
            <w:r>
              <w:rPr>
                <w:rFonts w:hint="eastAsia" w:ascii="楷体" w:hAnsi="楷体" w:eastAsia="楷体" w:cs="楷体"/>
                <w:kern w:val="0"/>
                <w:sz w:val="20"/>
                <w:szCs w:val="20"/>
                <w:lang w:val="en-US" w:eastAsia="zh-CN"/>
              </w:rPr>
              <w:t>6.属于四类过程性信息</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rPr>
              <w:t> 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宋体" w:hAnsi="宋体" w:eastAsia="宋体" w:cs="宋体"/>
                <w:sz w:val="20"/>
                <w:szCs w:val="20"/>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宋体" w:hAnsi="宋体" w:eastAsia="宋体" w:cs="宋体"/>
                <w:sz w:val="20"/>
                <w:szCs w:val="20"/>
              </w:rPr>
            </w:pPr>
          </w:p>
        </w:tc>
        <w:tc>
          <w:tcPr>
            <w:tcW w:w="208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楷体" w:hAnsi="楷体" w:eastAsia="楷体" w:cs="楷体"/>
                <w:sz w:val="20"/>
                <w:szCs w:val="20"/>
              </w:rPr>
            </w:pPr>
            <w:r>
              <w:rPr>
                <w:rFonts w:hint="eastAsia" w:ascii="楷体" w:hAnsi="楷体" w:eastAsia="楷体" w:cs="楷体"/>
                <w:kern w:val="0"/>
                <w:sz w:val="20"/>
                <w:szCs w:val="20"/>
                <w:lang w:val="en-US" w:eastAsia="zh-CN"/>
              </w:rPr>
              <w:t>7.属于行政执法案卷</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宋体" w:hAnsi="宋体" w:eastAsia="宋体" w:cs="宋体"/>
                <w:sz w:val="20"/>
                <w:szCs w:val="20"/>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宋体" w:hAnsi="宋体" w:eastAsia="宋体" w:cs="宋体"/>
                <w:sz w:val="20"/>
                <w:szCs w:val="20"/>
              </w:rPr>
            </w:pPr>
          </w:p>
        </w:tc>
        <w:tc>
          <w:tcPr>
            <w:tcW w:w="208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楷体" w:hAnsi="楷体" w:eastAsia="楷体" w:cs="楷体"/>
                <w:sz w:val="20"/>
                <w:szCs w:val="20"/>
              </w:rPr>
            </w:pPr>
            <w:r>
              <w:rPr>
                <w:rFonts w:hint="eastAsia" w:ascii="楷体" w:hAnsi="楷体" w:eastAsia="楷体" w:cs="楷体"/>
                <w:kern w:val="0"/>
                <w:sz w:val="20"/>
                <w:szCs w:val="20"/>
                <w:lang w:val="en-US" w:eastAsia="zh-CN"/>
              </w:rPr>
              <w:t>8.属于行政查询事项</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rPr>
              <w:t> 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楷体" w:hAnsi="楷体" w:eastAsia="楷体" w:cs="楷体"/>
                <w:sz w:val="20"/>
                <w:szCs w:val="20"/>
              </w:rPr>
            </w:pPr>
          </w:p>
        </w:tc>
        <w:tc>
          <w:tcPr>
            <w:tcW w:w="853"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楷体" w:hAnsi="楷体" w:eastAsia="楷体" w:cs="楷体"/>
                <w:sz w:val="20"/>
                <w:szCs w:val="20"/>
              </w:rPr>
            </w:pPr>
            <w:r>
              <w:rPr>
                <w:rFonts w:hint="eastAsia" w:ascii="楷体" w:hAnsi="楷体" w:eastAsia="楷体" w:cs="楷体"/>
                <w:kern w:val="0"/>
                <w:sz w:val="20"/>
                <w:szCs w:val="20"/>
                <w:lang w:val="en-US" w:eastAsia="zh-CN"/>
              </w:rPr>
              <w:t>（四）无法提供</w:t>
            </w:r>
          </w:p>
        </w:tc>
        <w:tc>
          <w:tcPr>
            <w:tcW w:w="208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楷体" w:hAnsi="楷体" w:eastAsia="楷体" w:cs="楷体"/>
                <w:sz w:val="20"/>
                <w:szCs w:val="20"/>
              </w:rPr>
            </w:pPr>
            <w:r>
              <w:rPr>
                <w:rFonts w:hint="eastAsia" w:ascii="楷体" w:hAnsi="楷体" w:eastAsia="楷体" w:cs="楷体"/>
                <w:kern w:val="0"/>
                <w:sz w:val="20"/>
                <w:szCs w:val="20"/>
                <w:lang w:val="en-US" w:eastAsia="zh-CN"/>
              </w:rPr>
              <w:t>1.本机关不掌握相关政府信息</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楷体" w:hAnsi="楷体" w:eastAsia="楷体" w:cs="楷体"/>
                <w:sz w:val="20"/>
                <w:szCs w:val="20"/>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楷体" w:hAnsi="楷体" w:eastAsia="楷体" w:cs="楷体"/>
                <w:sz w:val="20"/>
                <w:szCs w:val="20"/>
              </w:rPr>
            </w:pPr>
          </w:p>
        </w:tc>
        <w:tc>
          <w:tcPr>
            <w:tcW w:w="208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楷体" w:hAnsi="楷体" w:eastAsia="楷体" w:cs="楷体"/>
                <w:sz w:val="20"/>
                <w:szCs w:val="20"/>
              </w:rPr>
            </w:pPr>
            <w:r>
              <w:rPr>
                <w:rFonts w:hint="eastAsia" w:ascii="楷体" w:hAnsi="楷体" w:eastAsia="楷体" w:cs="楷体"/>
                <w:kern w:val="0"/>
                <w:sz w:val="20"/>
                <w:szCs w:val="20"/>
                <w:lang w:val="en-US" w:eastAsia="zh-CN"/>
              </w:rPr>
              <w:t>2.没有现成信息需要另行制作</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楷体" w:hAnsi="楷体" w:eastAsia="楷体" w:cs="楷体"/>
                <w:sz w:val="20"/>
                <w:szCs w:val="20"/>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楷体" w:hAnsi="楷体" w:eastAsia="楷体" w:cs="楷体"/>
                <w:sz w:val="20"/>
                <w:szCs w:val="20"/>
              </w:rPr>
            </w:pPr>
          </w:p>
        </w:tc>
        <w:tc>
          <w:tcPr>
            <w:tcW w:w="208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楷体" w:hAnsi="楷体" w:eastAsia="楷体" w:cs="楷体"/>
                <w:sz w:val="20"/>
                <w:szCs w:val="20"/>
              </w:rPr>
            </w:pPr>
            <w:r>
              <w:rPr>
                <w:rFonts w:hint="eastAsia" w:ascii="楷体" w:hAnsi="楷体" w:eastAsia="楷体" w:cs="楷体"/>
                <w:kern w:val="0"/>
                <w:sz w:val="20"/>
                <w:szCs w:val="20"/>
                <w:lang w:val="en-US" w:eastAsia="zh-CN"/>
              </w:rPr>
              <w:t>3.补正后申请内容仍不明确</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rPr>
              <w:t> 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楷体" w:hAnsi="楷体" w:eastAsia="楷体" w:cs="楷体"/>
                <w:sz w:val="20"/>
                <w:szCs w:val="20"/>
              </w:rPr>
            </w:pPr>
          </w:p>
        </w:tc>
        <w:tc>
          <w:tcPr>
            <w:tcW w:w="853"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楷体" w:hAnsi="楷体" w:eastAsia="楷体" w:cs="楷体"/>
                <w:sz w:val="20"/>
                <w:szCs w:val="20"/>
              </w:rPr>
            </w:pPr>
            <w:r>
              <w:rPr>
                <w:rFonts w:hint="eastAsia" w:ascii="楷体" w:hAnsi="楷体" w:eastAsia="楷体" w:cs="楷体"/>
                <w:kern w:val="0"/>
                <w:sz w:val="20"/>
                <w:szCs w:val="20"/>
                <w:lang w:val="en-US" w:eastAsia="zh-CN"/>
              </w:rPr>
              <w:t>（五）不予处理</w:t>
            </w:r>
          </w:p>
        </w:tc>
        <w:tc>
          <w:tcPr>
            <w:tcW w:w="208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楷体" w:hAnsi="楷体" w:eastAsia="楷体" w:cs="楷体"/>
                <w:sz w:val="20"/>
                <w:szCs w:val="20"/>
              </w:rPr>
            </w:pPr>
            <w:r>
              <w:rPr>
                <w:rFonts w:hint="eastAsia" w:ascii="楷体" w:hAnsi="楷体" w:eastAsia="楷体" w:cs="楷体"/>
                <w:kern w:val="0"/>
                <w:sz w:val="20"/>
                <w:szCs w:val="20"/>
                <w:lang w:val="en-US" w:eastAsia="zh-CN"/>
              </w:rPr>
              <w:t>1.信访举报投诉类申请</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rPr>
              <w:t> 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宋体" w:hAnsi="宋体" w:eastAsia="宋体" w:cs="宋体"/>
                <w:sz w:val="20"/>
                <w:szCs w:val="20"/>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宋体" w:hAnsi="宋体" w:eastAsia="宋体" w:cs="宋体"/>
                <w:sz w:val="20"/>
                <w:szCs w:val="20"/>
              </w:rPr>
            </w:pPr>
          </w:p>
        </w:tc>
        <w:tc>
          <w:tcPr>
            <w:tcW w:w="208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楷体" w:hAnsi="楷体" w:eastAsia="楷体" w:cs="楷体"/>
                <w:sz w:val="20"/>
                <w:szCs w:val="20"/>
              </w:rPr>
            </w:pPr>
            <w:r>
              <w:rPr>
                <w:rFonts w:hint="eastAsia" w:ascii="楷体" w:hAnsi="楷体" w:eastAsia="楷体" w:cs="楷体"/>
                <w:kern w:val="0"/>
                <w:sz w:val="20"/>
                <w:szCs w:val="20"/>
                <w:lang w:val="en-US" w:eastAsia="zh-CN"/>
              </w:rPr>
              <w:t>2.重复申请</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rPr>
              <w:t> 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宋体" w:hAnsi="宋体" w:eastAsia="宋体" w:cs="宋体"/>
                <w:sz w:val="20"/>
                <w:szCs w:val="20"/>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楷体" w:hAnsi="楷体" w:eastAsia="楷体" w:cs="楷体"/>
                <w:sz w:val="20"/>
                <w:szCs w:val="20"/>
              </w:rPr>
            </w:pPr>
          </w:p>
        </w:tc>
        <w:tc>
          <w:tcPr>
            <w:tcW w:w="208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楷体" w:hAnsi="楷体" w:eastAsia="楷体" w:cs="楷体"/>
                <w:sz w:val="20"/>
                <w:szCs w:val="20"/>
              </w:rPr>
            </w:pPr>
            <w:r>
              <w:rPr>
                <w:rFonts w:hint="eastAsia" w:ascii="楷体" w:hAnsi="楷体" w:eastAsia="楷体" w:cs="楷体"/>
                <w:kern w:val="0"/>
                <w:sz w:val="20"/>
                <w:szCs w:val="20"/>
                <w:lang w:val="en-US" w:eastAsia="zh-CN"/>
              </w:rPr>
              <w:t>3.要求提供公开出版物</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宋体" w:hAnsi="宋体" w:eastAsia="宋体" w:cs="宋体"/>
                <w:sz w:val="20"/>
                <w:szCs w:val="20"/>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楷体" w:hAnsi="楷体" w:eastAsia="楷体" w:cs="楷体"/>
                <w:sz w:val="20"/>
                <w:szCs w:val="20"/>
              </w:rPr>
            </w:pPr>
          </w:p>
        </w:tc>
        <w:tc>
          <w:tcPr>
            <w:tcW w:w="208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楷体" w:hAnsi="楷体" w:eastAsia="楷体" w:cs="楷体"/>
                <w:sz w:val="20"/>
                <w:szCs w:val="20"/>
              </w:rPr>
            </w:pPr>
            <w:r>
              <w:rPr>
                <w:rFonts w:hint="eastAsia" w:ascii="楷体" w:hAnsi="楷体" w:eastAsia="楷体" w:cs="楷体"/>
                <w:kern w:val="0"/>
                <w:sz w:val="20"/>
                <w:szCs w:val="20"/>
                <w:lang w:val="en-US" w:eastAsia="zh-CN"/>
              </w:rPr>
              <w:t>4.无正当理由大量反复申请</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宋体" w:hAnsi="宋体" w:eastAsia="宋体" w:cs="宋体"/>
                <w:sz w:val="20"/>
                <w:szCs w:val="20"/>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楷体" w:hAnsi="楷体" w:eastAsia="楷体" w:cs="楷体"/>
                <w:sz w:val="20"/>
                <w:szCs w:val="20"/>
              </w:rPr>
            </w:pPr>
          </w:p>
        </w:tc>
        <w:tc>
          <w:tcPr>
            <w:tcW w:w="208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楷体" w:hAnsi="楷体" w:eastAsia="楷体" w:cs="楷体"/>
                <w:sz w:val="20"/>
                <w:szCs w:val="20"/>
              </w:rPr>
            </w:pPr>
            <w:r>
              <w:rPr>
                <w:rFonts w:hint="eastAsia" w:ascii="楷体" w:hAnsi="楷体" w:eastAsia="楷体" w:cs="楷体"/>
                <w:kern w:val="0"/>
                <w:sz w:val="20"/>
                <w:szCs w:val="20"/>
                <w:lang w:val="en-US" w:eastAsia="zh-CN"/>
              </w:rPr>
              <w:t>5.要求行政机关确认或重新出具已获取信息</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0"/>
                <w:sz w:val="20"/>
                <w:szCs w:val="20"/>
                <w:lang w:val="en-US" w:eastAsia="zh-CN"/>
              </w:rPr>
              <w:t> 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宋体" w:hAnsi="宋体" w:eastAsia="宋体" w:cs="宋体"/>
                <w:sz w:val="20"/>
                <w:szCs w:val="20"/>
              </w:rPr>
            </w:pPr>
          </w:p>
        </w:tc>
        <w:tc>
          <w:tcPr>
            <w:tcW w:w="293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楷体" w:hAnsi="楷体" w:eastAsia="楷体" w:cs="楷体"/>
                <w:sz w:val="20"/>
                <w:szCs w:val="20"/>
              </w:rPr>
            </w:pPr>
            <w:r>
              <w:rPr>
                <w:rFonts w:hint="eastAsia" w:ascii="楷体" w:hAnsi="楷体" w:eastAsia="楷体" w:cs="楷体"/>
                <w:kern w:val="0"/>
                <w:sz w:val="20"/>
                <w:szCs w:val="20"/>
                <w:lang w:val="en-US" w:eastAsia="zh-CN"/>
              </w:rPr>
              <w:t>（六）其他处理</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宋体" w:hAnsi="宋体" w:eastAsia="宋体" w:cs="宋体"/>
                <w:sz w:val="20"/>
                <w:szCs w:val="20"/>
              </w:rPr>
            </w:pPr>
          </w:p>
        </w:tc>
        <w:tc>
          <w:tcPr>
            <w:tcW w:w="2933"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both"/>
              <w:textAlignment w:val="auto"/>
              <w:outlineLvl w:val="9"/>
              <w:rPr>
                <w:rFonts w:hint="eastAsia" w:ascii="楷体" w:hAnsi="楷体" w:eastAsia="楷体" w:cs="楷体"/>
                <w:sz w:val="20"/>
                <w:szCs w:val="20"/>
              </w:rPr>
            </w:pPr>
            <w:r>
              <w:rPr>
                <w:rFonts w:hint="eastAsia" w:ascii="楷体" w:hAnsi="楷体" w:eastAsia="楷体" w:cs="楷体"/>
                <w:kern w:val="0"/>
                <w:sz w:val="20"/>
                <w:szCs w:val="20"/>
                <w:lang w:val="en-US" w:eastAsia="zh-CN"/>
              </w:rPr>
              <w:t xml:space="preserve">       （七）总计</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cs="宋体"/>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0</w:t>
            </w:r>
          </w:p>
        </w:tc>
      </w:tr>
      <w:tr>
        <w:trPr>
          <w:jc w:val="center"/>
        </w:trPr>
        <w:tc>
          <w:tcPr>
            <w:tcW w:w="3549"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四、结转下年度继续办理</w:t>
            </w:r>
          </w:p>
        </w:tc>
        <w:tc>
          <w:tcPr>
            <w:tcW w:w="82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 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pStyle w:val="4"/>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080000" w:fill="FFFFFF"/>
        </w:rPr>
        <w:t>四、政府信息公开行政复议、行政诉讼情况</w:t>
      </w: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行政诉讼</w:t>
            </w:r>
          </w:p>
        </w:tc>
      </w:tr>
      <w:tr>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复议后起诉</w:t>
            </w:r>
          </w:p>
        </w:tc>
      </w:tr>
      <w:tr>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textAlignment w:val="auto"/>
              <w:outlineLvl w:val="9"/>
              <w:rPr>
                <w:rFonts w:hint="eastAsia" w:ascii="宋体" w:hAnsi="宋体" w:eastAsia="宋体" w:cs="宋体"/>
                <w:sz w:val="20"/>
                <w:szCs w:val="20"/>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textAlignment w:val="auto"/>
              <w:outlineLvl w:val="9"/>
              <w:rPr>
                <w:rFonts w:hint="eastAsia" w:ascii="宋体" w:hAnsi="宋体" w:eastAsia="宋体" w:cs="宋体"/>
                <w:sz w:val="20"/>
                <w:szCs w:val="20"/>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textAlignment w:val="auto"/>
              <w:outlineLvl w:val="9"/>
              <w:rPr>
                <w:rFonts w:hint="eastAsia" w:ascii="宋体" w:hAnsi="宋体" w:eastAsia="宋体" w:cs="宋体"/>
                <w:sz w:val="20"/>
                <w:szCs w:val="20"/>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textAlignment w:val="auto"/>
              <w:outlineLvl w:val="9"/>
              <w:rPr>
                <w:rFonts w:hint="eastAsia" w:ascii="宋体" w:hAnsi="宋体" w:eastAsia="宋体" w:cs="宋体"/>
                <w:sz w:val="20"/>
                <w:szCs w:val="20"/>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textAlignment w:val="auto"/>
              <w:outlineLvl w:val="9"/>
              <w:rPr>
                <w:rFonts w:hint="eastAsia" w:ascii="宋体" w:hAnsi="宋体" w:eastAsia="宋体" w:cs="宋体"/>
                <w:sz w:val="20"/>
                <w:szCs w:val="20"/>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总计</w:t>
            </w:r>
          </w:p>
        </w:tc>
      </w:tr>
      <w:tr>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0</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lang w:val="en-US"/>
              </w:rPr>
            </w:pPr>
            <w:r>
              <w:rPr>
                <w:rFonts w:hint="eastAsia" w:ascii="宋体" w:hAnsi="宋体" w:eastAsia="宋体"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0" w:beforeAutospacing="0" w:after="180" w:afterAutospacing="0" w:line="600" w:lineRule="exact"/>
              <w:ind w:left="0" w:leftChars="0" w:right="0"/>
              <w:jc w:val="center"/>
              <w:textAlignment w:val="auto"/>
              <w:outlineLvl w:val="9"/>
              <w:rPr>
                <w:rFonts w:hint="eastAsia" w:ascii="宋体" w:hAnsi="宋体" w:eastAsia="宋体" w:cs="宋体"/>
                <w:sz w:val="20"/>
                <w:szCs w:val="20"/>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wordWrap/>
              <w:adjustRightInd/>
              <w:snapToGrid/>
              <w:spacing w:before="0" w:line="600" w:lineRule="exact"/>
              <w:ind w:left="0" w:leftChars="0" w:right="0"/>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pStyle w:val="4"/>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right="0"/>
        <w:jc w:val="both"/>
        <w:textAlignment w:val="auto"/>
        <w:outlineLvl w:val="9"/>
        <w:rPr>
          <w:rFonts w:hint="eastAsia" w:ascii="宋体" w:hAnsi="宋体" w:cs="宋体"/>
          <w:b/>
          <w:i w:val="0"/>
          <w:caps w:val="0"/>
          <w:color w:val="333333"/>
          <w:spacing w:val="0"/>
          <w:sz w:val="24"/>
          <w:szCs w:val="24"/>
          <w:shd w:val="clear" w:color="080000" w:fill="FFFFFF"/>
          <w:lang w:eastAsia="zh-CN"/>
        </w:rPr>
      </w:pPr>
    </w:p>
    <w:p>
      <w:pPr>
        <w:pStyle w:val="4"/>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right="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cs="宋体"/>
          <w:b/>
          <w:i w:val="0"/>
          <w:caps w:val="0"/>
          <w:color w:val="333333"/>
          <w:spacing w:val="0"/>
          <w:sz w:val="24"/>
          <w:szCs w:val="24"/>
          <w:shd w:val="clear" w:color="080000" w:fill="FFFFFF"/>
          <w:lang w:eastAsia="zh-CN"/>
        </w:rPr>
        <w:t>五、</w:t>
      </w:r>
      <w:r>
        <w:rPr>
          <w:rFonts w:hint="eastAsia" w:ascii="宋体" w:hAnsi="宋体" w:eastAsia="宋体" w:cs="宋体"/>
          <w:b/>
          <w:i w:val="0"/>
          <w:caps w:val="0"/>
          <w:color w:val="333333"/>
          <w:spacing w:val="0"/>
          <w:sz w:val="24"/>
          <w:szCs w:val="24"/>
          <w:shd w:val="clear" w:color="080000" w:fill="FFFFFF"/>
        </w:rPr>
        <w:t>存在的主要问题及改进情况</w:t>
      </w:r>
    </w:p>
    <w:p>
      <w:pPr>
        <w:widowControl/>
        <w:wordWrap/>
        <w:adjustRightInd/>
        <w:snapToGrid/>
        <w:spacing w:before="0" w:line="600" w:lineRule="exact"/>
        <w:ind w:left="0" w:leftChars="0" w:right="0" w:firstLine="640" w:firstLineChars="200"/>
        <w:jc w:val="left"/>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2020年我局政府信息公开工作建体系、强组织、重协调， 高位推动、层层推进、整体联动，取得了一定成效，但仍存 在着信息公开制度不健全、公开范围狭窄，公开政策解读有 限、形式单一等问题，与新时代政务公开要求和公众期待还 有一定差距。为提高政府信息公开工作质量，最大程度满足 公众对信息公开需求，我局将紧扣新要求、对标新标准， “三个着重”切实做到信息公开标准高、方法新、效果实。</w:t>
      </w:r>
    </w:p>
    <w:p>
      <w:pPr>
        <w:widowControl/>
        <w:wordWrap/>
        <w:adjustRightInd/>
        <w:snapToGrid/>
        <w:spacing w:before="0" w:line="600" w:lineRule="exact"/>
        <w:ind w:left="0" w:leftChars="0" w:right="0" w:firstLine="640" w:firstLineChars="200"/>
        <w:jc w:val="left"/>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b/>
          <w:bCs/>
          <w:color w:val="000000"/>
          <w:kern w:val="0"/>
          <w:sz w:val="24"/>
          <w:szCs w:val="24"/>
          <w:lang w:val="en-US" w:eastAsia="zh-CN"/>
        </w:rPr>
        <w:t>一是着重完善信息公开体系建设。</w:t>
      </w:r>
      <w:r>
        <w:rPr>
          <w:rFonts w:hint="eastAsia" w:ascii="宋体" w:hAnsi="宋体" w:eastAsia="宋体" w:cs="宋体"/>
          <w:color w:val="000000"/>
          <w:kern w:val="0"/>
          <w:sz w:val="24"/>
          <w:szCs w:val="24"/>
          <w:lang w:val="en-US" w:eastAsia="zh-CN"/>
        </w:rPr>
        <w:t xml:space="preserve">紧紧抓住制度建设 “牛鼻子”，打好制度建设的“组合拳”，全面构建政务公 开体系。严格按照《政府信息公开条例》和政务公开新要求，认真甄别政府信息公开属性，做到该公开的一个不漏，依申请公开、不予公开的保证准确，扩大公文主动公开范围。认真做好重点领域政府信息公开工作，及时更新调整网站专题模块，把涉及群众切身利益的信息公开在群众的监督之下，扩大社会影响，提升政府形象。 </w:t>
      </w:r>
    </w:p>
    <w:p>
      <w:pPr>
        <w:widowControl/>
        <w:wordWrap/>
        <w:adjustRightInd/>
        <w:snapToGrid/>
        <w:spacing w:before="0" w:line="600" w:lineRule="exact"/>
        <w:ind w:left="0" w:leftChars="0" w:right="0" w:firstLine="640" w:firstLineChars="200"/>
        <w:jc w:val="left"/>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b/>
          <w:bCs/>
          <w:color w:val="000000"/>
          <w:kern w:val="0"/>
          <w:sz w:val="24"/>
          <w:szCs w:val="24"/>
          <w:lang w:val="en-US" w:eastAsia="zh-CN"/>
        </w:rPr>
        <w:t>二是着重拓宽政府信息公开渠道。</w:t>
      </w:r>
      <w:r>
        <w:rPr>
          <w:rFonts w:hint="eastAsia" w:ascii="宋体" w:hAnsi="宋体" w:eastAsia="宋体" w:cs="宋体"/>
          <w:b w:val="0"/>
          <w:bCs w:val="0"/>
          <w:color w:val="000000"/>
          <w:kern w:val="0"/>
          <w:sz w:val="24"/>
          <w:szCs w:val="24"/>
          <w:lang w:val="en-US" w:eastAsia="zh-CN"/>
        </w:rPr>
        <w:t>形</w:t>
      </w:r>
      <w:r>
        <w:rPr>
          <w:rFonts w:hint="eastAsia" w:ascii="宋体" w:hAnsi="宋体" w:eastAsia="宋体" w:cs="宋体"/>
          <w:color w:val="000000"/>
          <w:kern w:val="0"/>
          <w:sz w:val="24"/>
          <w:szCs w:val="24"/>
          <w:lang w:val="en-US" w:eastAsia="zh-CN"/>
        </w:rPr>
        <w:t xml:space="preserve">成并完善政务公开主要平台，政务服务大厅公开、现场公开等形式为辅助的政务公开矩阵，全方位推动政务服务，不断提高依法行政和政务服务水平，持续扩大稳固公众对政府工作的了解知情渠道，向社会广泛公开政府信息。 </w:t>
      </w:r>
    </w:p>
    <w:p>
      <w:pPr>
        <w:widowControl/>
        <w:wordWrap/>
        <w:adjustRightInd/>
        <w:snapToGrid/>
        <w:spacing w:before="0" w:line="600" w:lineRule="exact"/>
        <w:ind w:left="0" w:leftChars="0" w:right="0" w:firstLine="640" w:firstLineChars="200"/>
        <w:jc w:val="left"/>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b/>
          <w:bCs/>
          <w:color w:val="000000"/>
          <w:kern w:val="0"/>
          <w:sz w:val="24"/>
          <w:szCs w:val="24"/>
          <w:lang w:val="en-US" w:eastAsia="zh-CN"/>
        </w:rPr>
        <w:t>三是着重加强队伍建设和人才培养。</w:t>
      </w:r>
      <w:r>
        <w:rPr>
          <w:rFonts w:hint="eastAsia" w:ascii="宋体" w:hAnsi="宋体" w:eastAsia="宋体" w:cs="宋体"/>
          <w:color w:val="000000"/>
          <w:kern w:val="0"/>
          <w:sz w:val="24"/>
          <w:szCs w:val="24"/>
          <w:lang w:val="en-US" w:eastAsia="zh-CN"/>
        </w:rPr>
        <w:t>加强信息公开专职人员队伍建设和培养，认真学习传达上级文件精神，学懂弄通新条例变化，增强做好政府信息公开工作的自觉性和主动性，促进政府信息工作依法有序开展。</w:t>
      </w:r>
    </w:p>
    <w:p>
      <w:pPr>
        <w:widowControl/>
        <w:wordWrap/>
        <w:adjustRightInd/>
        <w:snapToGrid/>
        <w:spacing w:before="0" w:line="600" w:lineRule="exact"/>
        <w:ind w:left="0" w:leftChars="0" w:right="0" w:firstLine="640" w:firstLineChars="200"/>
        <w:jc w:val="left"/>
        <w:textAlignment w:val="auto"/>
        <w:outlineLvl w:val="9"/>
        <w:rPr>
          <w:rFonts w:hint="eastAsia" w:ascii="宋体" w:hAnsi="宋体" w:eastAsia="宋体" w:cs="宋体"/>
          <w:color w:val="000000"/>
          <w:kern w:val="0"/>
          <w:sz w:val="24"/>
          <w:szCs w:val="24"/>
          <w:lang w:val="en-US" w:eastAsia="zh-CN"/>
        </w:rPr>
      </w:pPr>
    </w:p>
    <w:p>
      <w:pPr>
        <w:widowControl/>
        <w:wordWrap/>
        <w:adjustRightInd/>
        <w:snapToGrid/>
        <w:spacing w:before="0" w:line="600" w:lineRule="exact"/>
        <w:ind w:left="0" w:leftChars="0" w:right="0"/>
        <w:jc w:val="left"/>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b/>
          <w:i w:val="0"/>
          <w:caps w:val="0"/>
          <w:color w:val="333333"/>
          <w:spacing w:val="0"/>
          <w:sz w:val="24"/>
          <w:szCs w:val="24"/>
          <w:shd w:val="clear" w:color="080000" w:fill="FFFFFF"/>
        </w:rPr>
        <w:t>六、其他需要报告的事项</w:t>
      </w:r>
    </w:p>
    <w:p>
      <w:pPr>
        <w:wordWrap/>
        <w:adjustRightInd/>
        <w:snapToGrid/>
        <w:spacing w:before="0" w:line="600" w:lineRule="exact"/>
        <w:ind w:left="0" w:leftChars="0" w:right="0" w:firstLine="1280" w:firstLineChars="400"/>
        <w:textAlignment w:val="auto"/>
        <w:outlineLvl w:val="9"/>
        <w:rPr>
          <w:rFonts w:hint="eastAsia" w:ascii="宋体" w:hAnsi="宋体" w:cs="宋体"/>
          <w:i w:val="0"/>
          <w:caps w:val="0"/>
          <w:color w:val="333333"/>
          <w:spacing w:val="0"/>
          <w:sz w:val="32"/>
          <w:szCs w:val="32"/>
          <w:shd w:val="clear" w:color="070000" w:fill="FFFFFF"/>
          <w:lang w:eastAsia="zh-CN"/>
        </w:rPr>
      </w:pPr>
      <w:r>
        <w:rPr>
          <w:rFonts w:hint="eastAsia" w:ascii="宋体" w:hAnsi="宋体" w:eastAsia="宋体" w:cs="宋体"/>
          <w:i w:val="0"/>
          <w:caps w:val="0"/>
          <w:color w:val="333333"/>
          <w:spacing w:val="0"/>
          <w:sz w:val="24"/>
          <w:szCs w:val="24"/>
          <w:shd w:val="clear" w:color="070000" w:fill="FFFFFF"/>
          <w:lang w:eastAsia="zh-CN"/>
        </w:rPr>
        <w:t>无。</w:t>
      </w:r>
    </w:p>
    <w:p>
      <w:pPr>
        <w:wordWrap/>
        <w:adjustRightInd/>
        <w:snapToGrid/>
        <w:spacing w:before="0" w:line="600" w:lineRule="exact"/>
        <w:ind w:left="0" w:leftChars="0" w:right="0" w:firstLine="3840" w:firstLineChars="1200"/>
        <w:jc w:val="right"/>
        <w:textAlignment w:val="auto"/>
        <w:outlineLvl w:val="9"/>
        <w:rPr>
          <w:rFonts w:hint="eastAsia" w:ascii="宋体" w:hAnsi="宋体" w:eastAsia="宋体" w:cs="宋体"/>
          <w:i w:val="0"/>
          <w:caps w:val="0"/>
          <w:color w:val="333333"/>
          <w:spacing w:val="0"/>
          <w:sz w:val="24"/>
          <w:szCs w:val="24"/>
          <w:shd w:val="clear" w:color="070000" w:fill="FFFFFF"/>
          <w:lang w:eastAsia="zh-CN"/>
        </w:rPr>
      </w:pPr>
      <w:r>
        <w:rPr>
          <w:rFonts w:hint="eastAsia" w:ascii="宋体" w:hAnsi="宋体" w:eastAsia="宋体" w:cs="宋体"/>
          <w:i w:val="0"/>
          <w:caps w:val="0"/>
          <w:color w:val="333333"/>
          <w:spacing w:val="0"/>
          <w:sz w:val="24"/>
          <w:szCs w:val="24"/>
          <w:shd w:val="clear" w:color="070000" w:fill="FFFFFF"/>
          <w:lang w:eastAsia="zh-CN"/>
        </w:rPr>
        <w:t>长春市九台区房屋土地征收局</w:t>
      </w:r>
    </w:p>
    <w:p>
      <w:pPr>
        <w:wordWrap/>
        <w:adjustRightInd/>
        <w:snapToGrid/>
        <w:spacing w:before="0" w:line="600" w:lineRule="exact"/>
        <w:ind w:left="0" w:leftChars="0" w:right="0" w:firstLine="5120" w:firstLineChars="1600"/>
        <w:jc w:val="right"/>
        <w:textAlignment w:val="auto"/>
        <w:outlineLvl w:val="9"/>
        <w:rPr>
          <w:rFonts w:hint="eastAsia" w:ascii="宋体" w:hAnsi="宋体" w:eastAsia="宋体" w:cs="宋体"/>
          <w:i w:val="0"/>
          <w:caps w:val="0"/>
          <w:color w:val="333333"/>
          <w:spacing w:val="0"/>
          <w:sz w:val="24"/>
          <w:szCs w:val="24"/>
          <w:shd w:val="clear" w:color="070000" w:fill="FFFFFF"/>
          <w:lang w:val="en-US" w:eastAsia="zh-CN"/>
        </w:rPr>
      </w:pPr>
      <w:r>
        <w:rPr>
          <w:rFonts w:hint="eastAsia" w:ascii="宋体" w:hAnsi="宋体" w:eastAsia="宋体" w:cs="宋体"/>
          <w:i w:val="0"/>
          <w:caps w:val="0"/>
          <w:color w:val="333333"/>
          <w:spacing w:val="0"/>
          <w:sz w:val="24"/>
          <w:szCs w:val="24"/>
          <w:shd w:val="clear" w:color="070000" w:fill="FFFFFF"/>
          <w:lang w:val="en-US" w:eastAsia="zh-CN"/>
        </w:rPr>
        <w:t>2020年1月14日</w:t>
      </w:r>
    </w:p>
    <w:p>
      <w:pPr>
        <w:wordWrap/>
        <w:adjustRightInd/>
        <w:snapToGrid/>
        <w:spacing w:before="0" w:line="600" w:lineRule="exact"/>
        <w:ind w:left="0" w:leftChars="0" w:right="0" w:firstLine="5120" w:firstLineChars="1600"/>
        <w:jc w:val="right"/>
        <w:textAlignment w:val="auto"/>
        <w:outlineLvl w:val="9"/>
        <w:rPr>
          <w:rFonts w:hint="eastAsia" w:ascii="宋体" w:hAnsi="宋体" w:eastAsia="宋体" w:cs="宋体"/>
          <w:i w:val="0"/>
          <w:caps w:val="0"/>
          <w:color w:val="333333"/>
          <w:spacing w:val="0"/>
          <w:sz w:val="24"/>
          <w:szCs w:val="24"/>
          <w:shd w:val="clear" w:color="070000" w:fill="FFFFFF"/>
          <w:lang w:val="en-US" w:eastAsia="zh-CN"/>
        </w:rPr>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等线 Light">
    <w:altName w:val="宋体"/>
    <w:panose1 w:val="02010600030101010101"/>
    <w:charset w:val="86"/>
    <w:family w:val="auto"/>
    <w:pitch w:val="default"/>
    <w:sig w:usb0="A00002BF" w:usb1="38CF7CFA" w:usb2="00000016" w:usb3="00000000" w:csb0="0004000F" w:csb1="00000000"/>
  </w:font>
  <w:font w:name="等线">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2FF" w:usb1="42002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2019-11-29T01:56:00Z</dcterms:created>
  <dc:creator>酌酒当哥:D档</dc:creator>
  <cp:lastModifiedBy>Administrator</cp:lastModifiedBy>
  <cp:lastPrinted>2021-01-14T01:54:00Z</cp:lastPrinted>
  <dcterms:modified xsi:type="dcterms:W3CDTF">2021-01-26T08:19:09Z</dcterms:modified>
  <dc:title>政府信息公开工作年度报告统计表说明参考</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