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color="090000" w:fill="FFFFFF"/>
          <w:lang w:val="en-US" w:eastAsia="zh-CN"/>
        </w:rPr>
      </w:pPr>
      <w:r>
        <w:rPr>
          <w:rFonts w:hint="eastAsia" w:ascii="宋体" w:hAnsi="宋体" w:cs="宋体"/>
          <w:b/>
          <w:i w:val="0"/>
          <w:caps w:val="0"/>
          <w:color w:val="333333"/>
          <w:spacing w:val="0"/>
          <w:sz w:val="44"/>
          <w:szCs w:val="44"/>
          <w:shd w:val="clear" w:color="090000" w:fill="FFFFFF"/>
          <w:lang w:val="en-US" w:eastAsia="zh-CN"/>
        </w:rPr>
        <w:t>长春市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color="090000" w:fill="FFFFFF"/>
          <w:lang w:val="en-US" w:eastAsia="zh-CN"/>
        </w:rPr>
        <w:t>九台区粮食和物资储备局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color="090000" w:fill="FFFFFF"/>
          <w:lang w:val="en-US" w:eastAsia="zh-CN"/>
        </w:rPr>
        <w:t>2019年政府信息公开工作年度报告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left="0" w:right="0" w:firstLine="42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sz w:val="24"/>
          <w:szCs w:val="24"/>
          <w:shd w:val="clear" w:color="090000" w:fill="FFFFFF"/>
        </w:rPr>
        <w:t>一、总体情况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根据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val="en-US" w:eastAsia="zh-CN"/>
        </w:rPr>
        <w:t>重新修订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《中华人民共和国政府信息公开条例》(以下简称《条例》)和《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val="en-US" w:eastAsia="zh-CN"/>
        </w:rPr>
        <w:t>2019年全区政务公开工作重点任务分工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》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val="en-US" w:eastAsia="zh-CN"/>
        </w:rPr>
        <w:t>的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有关要求，我局围绕粮食工作的重点、热点，坚持以公开为常态、不公开为例外，大力推进决策、执行、管理、服务、结果公开，较好的完成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val="en-US" w:eastAsia="zh-CN"/>
        </w:rPr>
        <w:t>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信息公开工作。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(一)加强组织领导，落实工作责任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val="en-US" w:eastAsia="zh-CN"/>
        </w:rPr>
        <w:t>为加强对政府信息公开工作的组织领导，我局明确了日常工作由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val="en-US" w:eastAsia="zh-CN"/>
        </w:rPr>
        <w:t>调控科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val="en-US" w:eastAsia="zh-CN"/>
        </w:rPr>
        <w:t>牵头，业务工作由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val="en-US" w:eastAsia="zh-CN"/>
        </w:rPr>
        <w:t>财务科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val="en-US" w:eastAsia="zh-CN"/>
        </w:rPr>
        <w:t>、调控科等科室具体负责，其他各科室予以配合，形成职责分明、分工合作、齐抓共管的工作局面。应该公开的信息在“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val="en-US" w:eastAsia="zh-CN"/>
        </w:rPr>
        <w:t>九台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val="en-US" w:eastAsia="zh-CN"/>
        </w:rPr>
        <w:t>区人民政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val="en-US" w:eastAsia="zh-CN"/>
        </w:rPr>
        <w:t>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val="en-US" w:eastAsia="zh-CN"/>
        </w:rPr>
        <w:t>网”上对外公开。同时，明确了主要领导为政府信息公开第一责任人，主动过问信息公开工作，严格按照“谁主管谁负责、先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val="en-US" w:eastAsia="zh-CN"/>
        </w:rPr>
        <w:t>审批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val="en-US" w:eastAsia="zh-CN"/>
        </w:rPr>
        <w:t>后公开”的原则，进一步落实信息公开工作责任，并配备了相应的办公设备，为政府信息公开工作的顺利推进打下了良好基础，保障了部门政府信息工作的正常有效开展。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24"/>
          <w:szCs w:val="24"/>
          <w:shd w:val="clear" w:color="080000" w:fill="FFFFFF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24"/>
          <w:szCs w:val="24"/>
          <w:shd w:val="clear" w:color="080000" w:fill="FFFFFF"/>
          <w:lang w:val="en-US" w:eastAsia="zh-CN"/>
        </w:rPr>
        <w:t>（二）</w:t>
      </w: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加强学习培训，强化督导</w:t>
      </w:r>
    </w:p>
    <w:p>
      <w:pPr>
        <w:pStyle w:val="2"/>
        <w:widowControl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加大政府信息公开知识普及和技术培训力度，对信息公开承办人员进行了岗位培训，提高他们的能力素质。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val="en-US" w:eastAsia="zh-CN"/>
        </w:rPr>
        <w:t>同时也加强了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对机关职能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val="en-US" w:eastAsia="zh-CN"/>
        </w:rPr>
        <w:t>科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室的督促检查，确保各项目标任务落实到位。认真做好政风行风建设、网上民声投诉、咨询等问题的办理工作，自觉接受社会监督。</w:t>
      </w:r>
    </w:p>
    <w:p>
      <w:pPr>
        <w:pStyle w:val="2"/>
        <w:widowControl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24"/>
          <w:szCs w:val="24"/>
          <w:shd w:val="clear" w:color="080000" w:fill="FFFFFF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24"/>
          <w:szCs w:val="24"/>
          <w:shd w:val="clear" w:color="080000" w:fill="FFFFFF"/>
          <w:lang w:val="en-US" w:eastAsia="zh-CN"/>
        </w:rPr>
        <w:t>三</w:t>
      </w: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主动公开政府信息的类别</w:t>
      </w:r>
    </w:p>
    <w:p>
      <w:pPr>
        <w:pStyle w:val="2"/>
        <w:widowControl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outlineLvl w:val="9"/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201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我局主动公开的政府信息中包括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val="en-US" w:eastAsia="zh-CN"/>
        </w:rPr>
        <w:t>机构职能1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条，财务预决算信息2条，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val="en-US" w:eastAsia="zh-CN"/>
        </w:rPr>
        <w:t>以上政府网站公开的信息严格按照“先审批，后发布”的流程，每次发布前都进行认真检查，无错别字，确保无泄密事件发生。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240" w:afterAutospacing="0" w:line="600" w:lineRule="exact"/>
        <w:ind w:right="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090000" w:fill="FFFFFF"/>
        </w:rPr>
        <w:t>二、主动公开政府信息情况</w:t>
      </w:r>
    </w:p>
    <w:tbl>
      <w:tblPr>
        <w:tblW w:w="81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第二十条第（一）项</w:t>
            </w:r>
          </w:p>
        </w:tc>
      </w:tr>
      <w:tr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br/>
            </w:r>
            <w:r>
              <w:rPr>
                <w:rFonts w:ascii="Calibri" w:hAnsi="Calibri" w:eastAsia="宋体" w:cs="黑体"/>
                <w:kern w:val="0"/>
                <w:sz w:val="20"/>
                <w:szCs w:val="20"/>
                <w:lang w:val="en-US" w:eastAsia="zh-CN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br/>
            </w:r>
            <w:r>
              <w:rPr>
                <w:rFonts w:ascii="Calibri" w:hAnsi="Calibri" w:eastAsia="宋体" w:cs="黑体"/>
                <w:kern w:val="0"/>
                <w:sz w:val="20"/>
                <w:szCs w:val="20"/>
                <w:lang w:val="en-US" w:eastAsia="zh-CN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对外公开总数量</w:t>
            </w:r>
          </w:p>
        </w:tc>
      </w:tr>
      <w:tr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第二十条第（五）项</w:t>
            </w:r>
          </w:p>
        </w:tc>
      </w:tr>
      <w:tr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处理决定数量</w:t>
            </w:r>
          </w:p>
        </w:tc>
      </w:tr>
      <w:tr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第二十条第（六）项</w:t>
            </w:r>
          </w:p>
        </w:tc>
      </w:tr>
      <w:tr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处理决定数量</w:t>
            </w:r>
          </w:p>
        </w:tc>
      </w:tr>
      <w:tr>
        <w:trPr>
          <w:trHeight w:val="9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第二十条第（八）项</w:t>
            </w:r>
          </w:p>
        </w:tc>
      </w:tr>
      <w:tr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本年增/减</w:t>
            </w:r>
          </w:p>
        </w:tc>
      </w:tr>
      <w:tr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第二十条第（九）项</w:t>
            </w:r>
          </w:p>
        </w:tc>
      </w:tr>
      <w:tr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采购总金额</w:t>
            </w:r>
          </w:p>
        </w:tc>
      </w:tr>
      <w:tr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240" w:afterAutospacing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090000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090000" w:fill="FFFFFF"/>
        </w:rPr>
        <w:t>收到和处理政府信息公开申请情况</w:t>
      </w:r>
    </w:p>
    <w:tbl>
      <w:tblPr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rPr>
          <w:jc w:val="center"/>
        </w:trPr>
        <w:tc>
          <w:tcPr>
            <w:tcW w:w="355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申请人情况</w:t>
            </w:r>
          </w:p>
        </w:tc>
      </w:tr>
      <w:tr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</w:tr>
      <w:tr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090000" w:fill="FFFFFF"/>
        </w:rPr>
        <w:t>四、政府信息公开行政复议、行政诉讼情况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行政诉讼</w:t>
            </w:r>
          </w:p>
        </w:tc>
      </w:tr>
      <w:tr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复议后起诉</w:t>
            </w:r>
          </w:p>
        </w:tc>
      </w:tr>
      <w:tr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</w:tr>
      <w:tr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090000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090000" w:fill="FFFFFF"/>
        </w:rPr>
        <w:t>存在的主要问题及改进情况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42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我局政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信息公开工作总体运行状况良好，建立健全了较为完善的各项工作制度，取得了一定的成绩，但仍存在一些不足：从事政府信息公开工作的队伍建设有待进一步加强；信息公开的内容有待进一步完善。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42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今后将在巩固现有成果的基础上，创新思路、扎实工作，不断提高政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公开工作水平：一是大力推进信息化建设，提高政务信息化水平；二是不断深化公开意识，拓展信息公开内容，切实提高局机关干部对政府信息公开工作重要性的认识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090000" w:fill="FFFFFF"/>
        </w:rPr>
        <w:t>六、其他需要报告的事项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-SA"/>
        </w:rPr>
        <w:t>经查摆，我局无其他报告事项</w:t>
      </w:r>
      <w:bookmarkStart w:id="0" w:name="_GoBack"/>
      <w:bookmarkEnd w:id="0"/>
    </w:p>
    <w:p>
      <w:pPr>
        <w:ind w:firstLine="320" w:firstLineChars="100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52071507">
    <w:nsid w:val="0F064E53"/>
    <w:multiLevelType w:val="singleLevel"/>
    <w:tmpl w:val="0F064E53"/>
    <w:lvl w:ilvl="0" w:tentative="1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578549123">
    <w:nsid w:val="5E16BF83"/>
    <w:multiLevelType w:val="singleLevel"/>
    <w:tmpl w:val="5E16BF83"/>
    <w:lvl w:ilvl="0" w:tentative="1">
      <w:start w:val="3"/>
      <w:numFmt w:val="chineseCounting"/>
      <w:suff w:val="nothing"/>
      <w:lvlText w:val="%1、"/>
      <w:lvlJc w:val="left"/>
    </w:lvl>
  </w:abstractNum>
  <w:num w:numId="1">
    <w:abstractNumId w:val="1578549123"/>
  </w:num>
  <w:num w:numId="2">
    <w:abstractNumId w:val="25207150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2019-11-29T01:56:00Z</dcterms:created>
  <dc:creator>酌酒当哥:D档</dc:creator>
  <cp:lastModifiedBy>Administrator</cp:lastModifiedBy>
  <dcterms:modified xsi:type="dcterms:W3CDTF">2021-01-27T01:33:20Z</dcterms:modified>
  <dc:title>中华人民共和国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