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12" w:beforeLines="100" w:beforeAutospacing="0" w:after="312" w:afterLines="100" w:afterAutospacing="0" w:line="360" w:lineRule="exact"/>
        <w:jc w:val="center"/>
        <w:rPr>
          <w:b/>
          <w:bCs w:val="0"/>
          <w:sz w:val="36"/>
          <w:szCs w:val="36"/>
        </w:rPr>
      </w:pPr>
      <w:r>
        <w:rPr>
          <w:rFonts w:cs="华文中宋"/>
          <w:b/>
          <w:bCs w:val="0"/>
          <w:color w:val="000000"/>
          <w:sz w:val="36"/>
          <w:szCs w:val="36"/>
        </w:rPr>
        <w:t>长春市建筑物临街门面装饰管理办法</w:t>
      </w:r>
    </w:p>
    <w:p>
      <w:pPr>
        <w:pStyle w:val="3"/>
        <w:widowControl/>
        <w:spacing w:before="0" w:beforeAutospacing="0" w:after="0" w:afterAutospacing="0" w:line="360" w:lineRule="exact"/>
        <w:ind w:firstLine="520" w:firstLineChars="200"/>
        <w:rPr>
          <w:rFonts w:cs="仿宋"/>
          <w:b w:val="0"/>
          <w:bCs/>
          <w:color w:val="000000"/>
          <w:sz w:val="26"/>
          <w:szCs w:val="26"/>
        </w:rPr>
      </w:pPr>
      <w:r>
        <w:rPr>
          <w:rFonts w:cs="仿宋"/>
          <w:b w:val="0"/>
          <w:bCs/>
          <w:color w:val="000000"/>
          <w:sz w:val="26"/>
          <w:szCs w:val="26"/>
        </w:rPr>
        <w:t>（2011年3月25日长春市人民政府令第23号公布 根据2020年10月20日《长春市人民政府关于修改和废止部分政府规章的决定》修正）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　第一条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  <w:lang w:val="en-US" w:eastAsia="zh-CN"/>
        </w:rPr>
        <w:t xml:space="preserve"> </w:t>
      </w:r>
      <w:r>
        <w:rPr>
          <w:rFonts w:hint="eastAsia" w:ascii="仿宋" w:hAnsi="仿宋" w:eastAsia="黑体" w:cs="仿宋"/>
          <w:bCs/>
          <w:color w:val="000000"/>
          <w:sz w:val="26"/>
          <w:szCs w:val="26"/>
          <w:lang w:val="en-US" w:eastAsia="zh-CN"/>
        </w:rPr>
        <w:t xml:space="preserve"> </w:t>
      </w:r>
      <w:r>
        <w:rPr>
          <w:rFonts w:hint="eastAsia" w:ascii="仿宋" w:hAnsi="仿宋" w:cs="仿宋"/>
          <w:color w:val="000000"/>
          <w:sz w:val="26"/>
          <w:szCs w:val="26"/>
        </w:rPr>
        <w:t>为加强城市建筑物临街门面装饰管理，创造良好的城市环境，根据法律、法规的有关规定，结合本市实际，制定本办法。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第二条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 </w:t>
      </w:r>
      <w:r>
        <w:rPr>
          <w:rFonts w:hint="eastAsia" w:ascii="仿宋" w:hAnsi="仿宋" w:cs="仿宋"/>
          <w:color w:val="000000"/>
          <w:sz w:val="26"/>
          <w:szCs w:val="26"/>
        </w:rPr>
        <w:t>凡在本市建成区内进行建筑物临街门面装饰的单位和个人，均须遵守本办法。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宋体" w:hAnsi="宋体" w:eastAsia="宋体" w:cs="宋体"/>
          <w:b/>
          <w:bCs/>
          <w:color w:val="000000"/>
          <w:sz w:val="26"/>
          <w:szCs w:val="26"/>
        </w:rPr>
      </w:pP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第三条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 </w:t>
      </w:r>
      <w:r>
        <w:rPr>
          <w:rFonts w:hint="eastAsia" w:ascii="仿宋" w:hAnsi="仿宋" w:cs="仿宋"/>
          <w:color w:val="000000"/>
          <w:sz w:val="26"/>
          <w:szCs w:val="26"/>
        </w:rPr>
        <w:t>本办法所称的建筑物临街门面装饰（以下简称门面装饰）是指为达到一定的景观效果，对建筑物临街外立面进行局部修饰处理的活动，包括对门面进行改造、设置牌匾和标识、搭建台阶等。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00000"/>
          <w:sz w:val="26"/>
          <w:szCs w:val="26"/>
        </w:rPr>
        <w:t xml:space="preserve">　　第四条 </w:t>
      </w:r>
      <w:r>
        <w:rPr>
          <w:rFonts w:hint="eastAsia" w:ascii="仿宋" w:hAnsi="仿宋" w:cs="仿宋"/>
          <w:color w:val="000000"/>
          <w:sz w:val="26"/>
          <w:szCs w:val="26"/>
        </w:rPr>
        <w:t>市市容主管部门负责全市门面装饰的管理工作。 　　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区市容主管部门按照职责分工，负责本辖区内门面装饰的管理工作。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规划、房地、建设、市政公用、公安等有关部门应当按照各自职责，依法做好门面装饰管理的相关工作。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 xml:space="preserve">　第五条 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</w:t>
      </w:r>
      <w:r>
        <w:rPr>
          <w:rFonts w:hint="eastAsia" w:ascii="仿宋" w:hAnsi="仿宋" w:cs="仿宋"/>
          <w:color w:val="000000"/>
          <w:sz w:val="26"/>
          <w:szCs w:val="26"/>
        </w:rPr>
        <w:t>门面装饰应当符合市容规划要求，与周边建筑和环境相协调，并与城市亮化、美化相结合。 　　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历史文化街区的门面装饰还应当符合历史文化街区保护规划。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第六条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进行门面装饰应当符合下列规定： 　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（一）符合市容规划确定的区域景观要求； 　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（二）不改变建筑物原建筑风格；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（三）同幢建筑物门面装饰的外形、尺度、色彩应当协调，牌匾位置应当统一，台阶应当整齐；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（四）符合公共安全要求。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第七条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</w:t>
      </w:r>
      <w:r>
        <w:rPr>
          <w:rFonts w:hint="eastAsia" w:ascii="仿宋" w:hAnsi="仿宋" w:cs="仿宋"/>
          <w:color w:val="000000"/>
          <w:sz w:val="26"/>
          <w:szCs w:val="26"/>
        </w:rPr>
        <w:t>下列建筑物不得进行门面装饰：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（一）已经确定拆除的建筑物；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 xml:space="preserve">　　（二）房屋安全主管部门确定为危险房屋的建筑物； 　　 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（三）其他不宜进行门面装饰的建筑物。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第八条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</w:t>
      </w:r>
      <w:r>
        <w:rPr>
          <w:rFonts w:hint="eastAsia" w:ascii="仿宋" w:hAnsi="仿宋" w:cs="仿宋"/>
          <w:color w:val="000000"/>
          <w:sz w:val="26"/>
          <w:szCs w:val="26"/>
        </w:rPr>
        <w:t>投资额在三十万元以上或者装饰面积在三百平方米以上的门面装饰，应当到建设主管部门办理建筑工程施工许可。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对建筑物临街门面进行整体装修的，应当经规划主管部门批准。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第九条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门面装饰过程中，建筑规划已经预留牌匾位的，牌匾应当设置在牌匾位内，不得超出或者小于牌匾位边线；建筑规划未预留牌匾位的，由市容主管部门统一确定牌匾位。</w:t>
      </w:r>
    </w:p>
    <w:p>
      <w:pPr>
        <w:pStyle w:val="4"/>
        <w:widowControl/>
        <w:spacing w:before="0" w:beforeAutospacing="0" w:after="0" w:afterAutospacing="0" w:line="360" w:lineRule="exact"/>
        <w:ind w:firstLine="510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第十条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门面装饰施工现场应当按照规定围挡，并保护好树木及市政公用、环境卫生设施。</w:t>
      </w:r>
    </w:p>
    <w:p>
      <w:pPr>
        <w:pStyle w:val="4"/>
        <w:widowControl/>
        <w:spacing w:before="0" w:beforeAutospacing="0" w:after="0" w:afterAutospacing="0" w:line="360" w:lineRule="exact"/>
        <w:ind w:firstLine="510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材料、设备和工具应当在规定范围内堆放整齐。在施工中不得泥浆撒漏、污水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外流。易于扬尘的物料应当采取覆盖措施，防止粉尘污染。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　第十一条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门面装饰施工时，应当遵守安全施工操作规范，确保作业人员和相邻人员的人身及财产安全。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门面装饰增加的附属物涉及公共安全的，应当委托具有相应资质的设计单位进行设计，并按设计要求规范施工。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第十二条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 门面装饰施工需要临时占道的，应当到市容主管部门办理施工占道许可。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第十三条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 违反本办法第十条第一款规定的，责令限期改正，逾期不改正的，处以二千元以上一万元以下的罚款。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违反本办法第十条第二款、第十二条规定的，由市容主管部门责令改正，并处以一千元以上三千元以下罚款。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　第十四条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门面装饰发生倒塌、坠落等事故，造成他人人身伤害或者财产损失的，应当依法承担民事赔偿责任。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第十五条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对妨碍市容主管部门执法人员执行公务的，由公安机关依法予以处罚；情节严重构成犯罪的，依法追究刑事责任。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第十六条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 市容主管部门工作人员在门面装饰管理过程中，滥用职权、渎职失职、徇私舞弊的，依法给予行政处分；构成犯罪的，依法追究刑事责任。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>　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第十七条</w:t>
      </w:r>
      <w:r>
        <w:rPr>
          <w:rFonts w:hint="eastAsia" w:ascii="仿宋" w:hAnsi="仿宋" w:eastAsia="黑体" w:cs="仿宋"/>
          <w:bCs/>
          <w:color w:val="000000"/>
          <w:sz w:val="26"/>
          <w:szCs w:val="26"/>
        </w:rPr>
        <w:t xml:space="preserve"> 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各县（市）门面装饰的管理可参照本办法执行。</w:t>
      </w:r>
    </w:p>
    <w:p>
      <w:pPr>
        <w:pStyle w:val="4"/>
        <w:widowControl/>
        <w:spacing w:before="0" w:beforeAutospacing="0" w:after="0" w:afterAutospacing="0" w:line="360" w:lineRule="exact"/>
        <w:rPr>
          <w:rFonts w:hint="eastAsia" w:ascii="仿宋" w:hAnsi="仿宋" w:cs="仿宋"/>
          <w:color w:val="000000"/>
          <w:sz w:val="26"/>
          <w:szCs w:val="26"/>
        </w:rPr>
      </w:pPr>
      <w:r>
        <w:rPr>
          <w:rFonts w:hint="eastAsia" w:ascii="仿宋" w:hAnsi="仿宋" w:cs="仿宋"/>
          <w:color w:val="000000"/>
          <w:sz w:val="26"/>
          <w:szCs w:val="26"/>
        </w:rPr>
        <w:t>　　</w:t>
      </w:r>
      <w:r>
        <w:rPr>
          <w:rFonts w:hint="eastAsia" w:ascii="宋体" w:hAnsi="宋体" w:eastAsia="宋体" w:cs="宋体"/>
          <w:b/>
          <w:bCs w:val="0"/>
          <w:color w:val="000000"/>
          <w:sz w:val="26"/>
          <w:szCs w:val="26"/>
        </w:rPr>
        <w:t>第十八条</w:t>
      </w:r>
      <w:r>
        <w:rPr>
          <w:rFonts w:hint="eastAsia" w:ascii="仿宋" w:hAnsi="仿宋" w:cs="仿宋"/>
          <w:color w:val="000000"/>
          <w:sz w:val="26"/>
          <w:szCs w:val="26"/>
        </w:rPr>
        <w:t xml:space="preserve">  </w:t>
      </w:r>
      <w:r>
        <w:rPr>
          <w:rFonts w:hint="eastAsia" w:ascii="宋体" w:hAnsi="宋体" w:cs="仿宋"/>
          <w:color w:val="000000"/>
          <w:sz w:val="26"/>
          <w:szCs w:val="26"/>
        </w:rPr>
        <w:t>本办法自2011年5月1日起施行。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5" w:h="16838"/>
      <w:pgMar w:top="1304" w:right="1361" w:bottom="1474" w:left="1191" w:header="567" w:footer="567" w:gutter="0"/>
      <w:pgNumType w:start="26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pacing w:before="240" w:beforeLines="100" w:beforeAutospacing="0" w:after="240" w:afterLines="100" w:afterAutospacing="0" w:line="360" w:lineRule="exact"/>
      <w:rPr>
        <w:rFonts w:cs="华文中宋"/>
        <w:color w:val="7F7F7F"/>
        <w:sz w:val="18"/>
        <w:szCs w:val="18"/>
      </w:rPr>
    </w:pPr>
    <w:r>
      <w:rPr>
        <w:rFonts w:cs="华文中宋"/>
        <w:color w:val="7F7F7F"/>
        <w:sz w:val="18"/>
        <w:szCs w:val="18"/>
      </w:rPr>
      <w:t>长春市建筑物临街门面装饰管理办法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pacing w:before="240" w:beforeLines="100" w:beforeAutospacing="0" w:after="240" w:afterLines="100" w:afterAutospacing="0" w:line="360" w:lineRule="exact"/>
      <w:jc w:val="right"/>
      <w:rPr>
        <w:rFonts w:cs="华文中宋"/>
        <w:color w:val="7F7F7F"/>
        <w:sz w:val="18"/>
        <w:szCs w:val="18"/>
      </w:rPr>
    </w:pPr>
    <w:r>
      <w:rPr>
        <w:rFonts w:cs="华文中宋"/>
        <w:color w:val="7F7F7F"/>
        <w:sz w:val="18"/>
        <w:szCs w:val="18"/>
      </w:rPr>
      <w:t>长春市建筑物临街门面装饰管理办法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GQ1MDBjN2E3YWIxNDFkZTg1YTIwMTVmZjFkMTQifQ=="/>
  </w:docVars>
  <w:rsids>
    <w:rsidRoot w:val="7CBF474A"/>
    <w:rsid w:val="7CB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2023-11-16T02:11:00Z</dcterms:created>
  <dc:creator>Administrator</dc:creator>
  <cp:lastModifiedBy>Administrator</cp:lastModifiedBy>
  <dcterms:modified xsi:type="dcterms:W3CDTF">2023-11-16T02:15:01Z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19AB41DC4FB845D8A8E8173F2348C34F_11</vt:lpwstr>
  </property>
</Properties>
</file>