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299CE">
      <w:pPr>
        <w:pStyle w:val="15"/>
        <w:keepNext w:val="0"/>
        <w:keepLines w:val="0"/>
        <w:pageBreakBefore w:val="0"/>
        <w:widowControl w:val="0"/>
        <w:kinsoku/>
        <w:wordWrap/>
        <w:overflowPunct w:val="0"/>
        <w:topLinePunct/>
        <w:autoSpaceDE/>
        <w:autoSpaceDN/>
        <w:bidi w:val="0"/>
        <w:snapToGrid/>
        <w:spacing w:beforeLines="0" w:afterLines="0" w:line="620" w:lineRule="exact"/>
        <w:textAlignment w:val="auto"/>
        <w:rPr>
          <w:rFonts w:hint="eastAsia" w:ascii="Times New Roman" w:hAnsi="Times New Roman" w:eastAsia="方正小标宋_GBK" w:cs="Times New Roman"/>
          <w:kern w:val="2"/>
          <w:szCs w:val="44"/>
          <w:lang w:val="en-US" w:eastAsia="zh-CN"/>
        </w:rPr>
      </w:pPr>
      <mc:AlternateContent>
        <mc:Choice Requires="wpsCustomData">
          <wpsCustomData:docfieldStart id="0" docfieldname="发文机关名称" hidden="0" print="1" readonly="0" index="31"/>
        </mc:Choice>
      </mc:AlternateContent>
      <mc:AlternateContent>
        <mc:Choice Requires="wpsCustomData">
          <wpsCustomData:docfieldEnd id="0"/>
        </mc:Choice>
      </mc:AlternateContent>
      <mc:AlternateContent>
        <mc:Choice Requires="wpsCustomData">
          <wpsCustomData:docfieldStart id="1" docfieldname="标题" hidden="0" print="1" readonly="0" index="10"/>
        </mc:Choice>
      </mc:AlternateContent>
      <w:r>
        <w:rPr>
          <w:rFonts w:hint="eastAsia"/>
          <w:lang w:val="en-US" w:eastAsia="zh-CN"/>
        </w:rPr>
        <w:t>科技创新和技术改造再贷款政策补充问答口径</w:t>
      </w:r>
      <mc:AlternateContent>
        <mc:Choice Requires="wpsCustomData">
          <wpsCustomData:docfieldEnd id="1"/>
        </mc:Choice>
      </mc:AlternateContent>
    </w:p>
    <w:p w14:paraId="2A8C1DD3">
      <w:pPr>
        <w:keepNext w:val="0"/>
        <w:keepLines w:val="0"/>
        <w:pageBreakBefore w:val="0"/>
        <w:widowControl w:val="0"/>
        <w:kinsoku/>
        <w:wordWrap/>
        <w:overflowPunct w:val="0"/>
        <w:topLinePunct/>
        <w:autoSpaceDE/>
        <w:autoSpaceDN/>
        <w:bidi w:val="0"/>
        <w:adjustRightInd w:val="0"/>
        <w:snapToGrid/>
        <w:spacing w:line="620" w:lineRule="exact"/>
        <w:ind w:right="0" w:rightChars="0"/>
        <w:jc w:val="both"/>
        <w:textAlignment w:val="auto"/>
        <w:outlineLvl w:val="9"/>
        <w:rPr>
          <w:rFonts w:hint="eastAsia" w:ascii="Times New Roman" w:hAnsi="Times New Roman" w:eastAsia="方正仿宋_GBK" w:cs="Times New Roman"/>
          <w:kern w:val="2"/>
          <w:sz w:val="32"/>
          <w:szCs w:val="32"/>
          <w:lang w:val="en-US" w:eastAsia="zh-CN"/>
        </w:rPr>
      </w:pPr>
    </w:p>
    <w:p w14:paraId="354B9303">
      <w:pPr>
        <w:pStyle w:val="11"/>
        <w:keepNext w:val="0"/>
        <w:keepLines w:val="0"/>
        <w:pageBreakBefore w:val="0"/>
        <w:widowControl w:val="0"/>
        <w:kinsoku/>
        <w:wordWrap/>
        <w:overflowPunct w:val="0"/>
        <w:topLinePunct/>
        <w:autoSpaceDE/>
        <w:autoSpaceDN/>
        <w:bidi w:val="0"/>
        <w:snapToGrid/>
        <w:spacing w:afterLines="0" w:line="620" w:lineRule="exact"/>
        <w:textAlignment w:val="auto"/>
        <w:rPr>
          <w:rFonts w:ascii="Times New Roman" w:hAnsi="Times New Roman" w:eastAsia="黑体" w:cs="Times New Roman"/>
          <w:spacing w:val="-6"/>
          <w:kern w:val="2"/>
          <w:sz w:val="32"/>
          <w:szCs w:val="32"/>
          <w:lang w:bidi="ar-SA"/>
        </w:rPr>
      </w:pPr>
      <mc:AlternateContent>
        <mc:Choice Requires="wpsCustomData">
          <wpsCustomData:docfieldStart id="2" docfieldname="正文" hidden="0" print="1" readonly="0" index="48"/>
        </mc:Choice>
      </mc:AlternateContent>
      <w:r>
        <w:rPr>
          <w:rFonts w:hint="eastAsia" w:ascii="Times New Roman" w:hAnsi="Times New Roman" w:eastAsia="黑体" w:cs="Times New Roman"/>
          <w:spacing w:val="-6"/>
          <w:kern w:val="2"/>
          <w:sz w:val="32"/>
          <w:szCs w:val="32"/>
          <w:lang w:eastAsia="zh-CN" w:bidi="ar-SA"/>
        </w:rPr>
        <w:t>一</w:t>
      </w:r>
      <w:r>
        <w:rPr>
          <w:rFonts w:ascii="Times New Roman" w:hAnsi="Times New Roman" w:eastAsia="黑体" w:cs="Times New Roman"/>
          <w:spacing w:val="-6"/>
          <w:kern w:val="2"/>
          <w:sz w:val="32"/>
          <w:szCs w:val="32"/>
          <w:lang w:bidi="ar-SA"/>
        </w:rPr>
        <w:t>、对于设备更新和技术改造贷款，部分项目的设备购置和技术改造服务合同或贷款合同签订日期早于2024年3月7日的，能否享受再贷款政策支持？</w:t>
      </w:r>
    </w:p>
    <w:p w14:paraId="65CF7A02">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对于设备购置和技术改造服务合同或贷款合同签订</w:t>
      </w:r>
      <w:r>
        <w:rPr>
          <w:rFonts w:hint="eastAsia"/>
          <w:lang w:eastAsia="zh-CN"/>
        </w:rPr>
        <w:t>日期</w:t>
      </w:r>
      <w:r>
        <w:t>早于2024年3月7日的清单内项目，银行在2024年3月7</w:t>
      </w:r>
      <w:r>
        <w:rPr>
          <w:rFonts w:hint="eastAsia"/>
          <w:lang w:eastAsia="zh-CN"/>
        </w:rPr>
        <w:t>日</w:t>
      </w:r>
      <w:r>
        <w:t>（含</w:t>
      </w:r>
      <w:r>
        <w:rPr>
          <w:rFonts w:hint="eastAsia"/>
          <w:lang w:eastAsia="zh-CN"/>
        </w:rPr>
        <w:t>）</w:t>
      </w:r>
      <w:r>
        <w:t>以后发放贷款的</w:t>
      </w:r>
      <w:r>
        <w:rPr>
          <w:rFonts w:hint="eastAsia"/>
          <w:lang w:eastAsia="zh-CN"/>
        </w:rPr>
        <w:t>，</w:t>
      </w:r>
      <w:r>
        <w:t>可以申请再贷款政策支持。</w:t>
      </w:r>
    </w:p>
    <w:p w14:paraId="76F0A7F9">
      <w:pPr>
        <w:pStyle w:val="2"/>
        <w:keepNext w:val="0"/>
        <w:keepLines w:val="0"/>
        <w:pageBreakBefore w:val="0"/>
        <w:widowControl w:val="0"/>
        <w:numPr>
          <w:ilvl w:val="0"/>
          <w:numId w:val="0"/>
        </w:numPr>
        <w:kinsoku/>
        <w:wordWrap/>
        <w:overflowPunct w:val="0"/>
        <w:topLinePunct/>
        <w:autoSpaceDE/>
        <w:autoSpaceDN/>
        <w:bidi w:val="0"/>
        <w:snapToGrid/>
        <w:spacing w:beforeLines="0" w:afterLines="0" w:line="620" w:lineRule="exact"/>
        <w:ind w:left="0" w:leftChars="0" w:firstLine="616" w:firstLineChars="0"/>
        <w:textAlignment w:val="auto"/>
      </w:pPr>
      <w:r>
        <w:rPr>
          <w:rFonts w:hint="eastAsia" w:ascii="Times New Roman" w:hAnsi="Times New Roman" w:eastAsia="黑体" w:cs="Times New Roman"/>
          <w:spacing w:val="-6"/>
          <w:kern w:val="2"/>
          <w:sz w:val="32"/>
          <w:szCs w:val="32"/>
          <w:lang w:bidi="ar-SA"/>
        </w:rPr>
        <w:t>二、</w:t>
      </w:r>
      <w:r>
        <w:t>部分设备更新和技术改造项目实施周期较长，发票取得时间较晚，银行能否就暂未取得发票的项目贷款申报再贷款政策支持？</w:t>
      </w:r>
    </w:p>
    <w:p w14:paraId="2D977C42">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银行已向清单内项目发放设备更新和技术改造贷款，但因项目客观原因未能及时取得相应发票的，可申报再贷款资金。银行须在申报时提供加盖经办行行章的书面函，就暂未取得发票的具体原因、后期补充提交发票等情况作出说明。对于后续已取得发</w:t>
      </w:r>
      <w:bookmarkStart w:id="0" w:name="_GoBack"/>
      <w:bookmarkEnd w:id="0"/>
      <w:r>
        <w:t>票但未补充提交的，暂停其申报资格。</w:t>
      </w:r>
    </w:p>
    <w:p w14:paraId="29923BFC">
      <w:pPr>
        <w:pStyle w:val="2"/>
        <w:keepNext w:val="0"/>
        <w:keepLines w:val="0"/>
        <w:pageBreakBefore w:val="0"/>
        <w:widowControl w:val="0"/>
        <w:numPr>
          <w:ilvl w:val="0"/>
          <w:numId w:val="0"/>
        </w:numPr>
        <w:kinsoku/>
        <w:wordWrap/>
        <w:overflowPunct w:val="0"/>
        <w:topLinePunct/>
        <w:autoSpaceDE/>
        <w:autoSpaceDN/>
        <w:bidi w:val="0"/>
        <w:snapToGrid/>
        <w:spacing w:beforeLines="0" w:afterLines="0" w:line="620" w:lineRule="exact"/>
        <w:ind w:left="0" w:leftChars="0" w:firstLine="616" w:firstLineChars="0"/>
        <w:textAlignment w:val="auto"/>
      </w:pPr>
      <w:r>
        <w:rPr>
          <w:rFonts w:hint="eastAsia" w:ascii="Times New Roman" w:hAnsi="Times New Roman" w:eastAsia="黑体" w:cs="Times New Roman"/>
          <w:spacing w:val="-6"/>
          <w:kern w:val="2"/>
          <w:sz w:val="32"/>
          <w:szCs w:val="32"/>
          <w:lang w:bidi="ar-SA"/>
        </w:rPr>
        <w:t>三、</w:t>
      </w:r>
      <w:r>
        <w:t>部分设备更新和技术改造项目前期主要是配套的厂房、实验室等建设工程，尚未进入设备采购等阶段，银行向配套建设工程发放贷款后，能否申请再贷款政策支持？</w:t>
      </w:r>
    </w:p>
    <w:p w14:paraId="36739CB2">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银行向清单内设备更新和技术改造项目合理必要配套的厂房、实验室等建设工程投放的贷款，可申报再贷款资金。银行须在申报时提交有关建设施工合同、支付凭证等证明材料，并提供加盖经办行行章的书面函，就贷款支持对象属于部委推送的清单内项目建设内容作出说明。</w:t>
      </w:r>
    </w:p>
    <w:p w14:paraId="1149FA03">
      <w:pPr>
        <w:pStyle w:val="2"/>
        <w:keepNext w:val="0"/>
        <w:keepLines w:val="0"/>
        <w:pageBreakBefore w:val="0"/>
        <w:widowControl w:val="0"/>
        <w:numPr>
          <w:ilvl w:val="0"/>
          <w:numId w:val="0"/>
        </w:numPr>
        <w:kinsoku/>
        <w:wordWrap/>
        <w:overflowPunct w:val="0"/>
        <w:topLinePunct/>
        <w:autoSpaceDE/>
        <w:autoSpaceDN/>
        <w:bidi w:val="0"/>
        <w:snapToGrid/>
        <w:spacing w:beforeLines="0" w:afterLines="0" w:line="620" w:lineRule="exact"/>
        <w:ind w:left="0" w:leftChars="0" w:firstLine="616" w:firstLineChars="0"/>
        <w:textAlignment w:val="auto"/>
      </w:pPr>
      <w:r>
        <w:rPr>
          <w:rFonts w:hint="eastAsia" w:ascii="Times New Roman" w:hAnsi="Times New Roman" w:eastAsia="黑体" w:cs="Times New Roman"/>
          <w:spacing w:val="-6"/>
          <w:kern w:val="2"/>
          <w:sz w:val="32"/>
          <w:szCs w:val="32"/>
          <w:lang w:bidi="ar-SA"/>
        </w:rPr>
        <w:t>四、</w:t>
      </w:r>
      <w:r>
        <w:t>对于设备更新和技术改造贷款，非意向银行向清单内项目发放的设备更新和技术改造贷款，能否申报再贷款政策支持？</w:t>
      </w:r>
    </w:p>
    <w:p w14:paraId="270D74EB">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对于技术改造和设备更新项目，原则上由项目主体确定的意向银行进行对接和贷款发放。在项目融资对接落地中，项目主体自主将非意向银行变更或追加为意向银行的，相关银行向该项目发放的贷款可申报再贷款资金。申报再贷款资金时，须提交项目主体企业将其确定为意向银行的书面说明（加盖项目主体企业公章），中国人民银行按程序进行审核和给予政策支持。</w:t>
      </w:r>
    </w:p>
    <w:p w14:paraId="31CA942F">
      <w:pPr>
        <w:pStyle w:val="2"/>
        <w:keepNext w:val="0"/>
        <w:keepLines w:val="0"/>
        <w:pageBreakBefore w:val="0"/>
        <w:widowControl w:val="0"/>
        <w:numPr>
          <w:ilvl w:val="0"/>
          <w:numId w:val="0"/>
        </w:numPr>
        <w:kinsoku/>
        <w:wordWrap/>
        <w:overflowPunct w:val="0"/>
        <w:topLinePunct/>
        <w:autoSpaceDE/>
        <w:autoSpaceDN/>
        <w:bidi w:val="0"/>
        <w:snapToGrid/>
        <w:spacing w:beforeLines="0" w:afterLines="0" w:line="620" w:lineRule="exact"/>
        <w:ind w:left="0" w:leftChars="0" w:firstLine="616" w:firstLineChars="0"/>
        <w:textAlignment w:val="auto"/>
      </w:pPr>
      <w:r>
        <w:rPr>
          <w:rFonts w:hint="eastAsia" w:ascii="Times New Roman" w:hAnsi="Times New Roman" w:eastAsia="黑体" w:cs="Times New Roman"/>
          <w:spacing w:val="-6"/>
          <w:kern w:val="2"/>
          <w:sz w:val="32"/>
          <w:szCs w:val="32"/>
          <w:lang w:bidi="ar-SA"/>
        </w:rPr>
        <w:t>五、</w:t>
      </w:r>
      <w:r>
        <w:t>对于设备更新和技术改造贷款，贷款对接和发放情况监测表中，不可放贷原因和需要部门协调解决的事项主要填报哪方面内容？</w:t>
      </w:r>
    </w:p>
    <w:p w14:paraId="7BD5EECC">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监测表不可放贷原因一栏中“审贷要件不齐”是指项目缺少授信审查所需的土地、规划、建设、安全、环保等证照要件。需要部门协调解决的事项是指在审贷过程中需要行业主管部门协调解决的要素保障等问题。各银行机构要提高问题反馈的精准性，为有关部门推动问题解决提供参考。</w:t>
      </w:r>
    </w:p>
    <w:p w14:paraId="755C0203">
      <w:pPr>
        <w:pStyle w:val="2"/>
        <w:keepNext w:val="0"/>
        <w:keepLines w:val="0"/>
        <w:pageBreakBefore w:val="0"/>
        <w:widowControl w:val="0"/>
        <w:numPr>
          <w:ilvl w:val="0"/>
          <w:numId w:val="0"/>
        </w:numPr>
        <w:kinsoku/>
        <w:wordWrap/>
        <w:overflowPunct w:val="0"/>
        <w:topLinePunct/>
        <w:autoSpaceDE/>
        <w:autoSpaceDN/>
        <w:bidi w:val="0"/>
        <w:snapToGrid/>
        <w:spacing w:beforeLines="0" w:afterLines="0" w:line="620" w:lineRule="exact"/>
        <w:ind w:left="0" w:leftChars="0" w:firstLine="616" w:firstLineChars="0"/>
        <w:textAlignment w:val="auto"/>
      </w:pPr>
      <w:r>
        <w:rPr>
          <w:rFonts w:hint="eastAsia" w:ascii="Times New Roman" w:hAnsi="Times New Roman" w:eastAsia="黑体" w:cs="Times New Roman"/>
          <w:spacing w:val="-6"/>
          <w:kern w:val="2"/>
          <w:sz w:val="32"/>
          <w:szCs w:val="32"/>
          <w:lang w:bidi="ar-SA"/>
        </w:rPr>
        <w:t>六、</w:t>
      </w:r>
      <w:r>
        <w:t>对于科技创新贷款，初创期、成长期科技型中小企业贷款短期性强、用款灵活，随借随还类贷款更加匹配企业需求，能否将随借随还等灵活用款贷款纳入再贷款政策支持范围？</w:t>
      </w:r>
    </w:p>
    <w:p w14:paraId="6D2D37B6">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针对初创期、成长期科技型中小企业首贷融资短期性特征，将银行向名单内科技型企业发放的贷款合同期限不低于1年</w:t>
      </w:r>
      <w:r>
        <w:rPr>
          <w:rFonts w:hint="eastAsia"/>
          <w:lang w:eastAsia="zh-CN"/>
        </w:rPr>
        <w:t>（</w:t>
      </w:r>
      <w:r>
        <w:t>360天）的随借随还等灵活用款贷款，纳入再贷款政策支持</w:t>
      </w:r>
      <w:r>
        <w:rPr>
          <w:rFonts w:hint="eastAsia"/>
          <w:lang w:eastAsia="zh-CN"/>
        </w:rPr>
        <w:t>范围</w:t>
      </w:r>
      <w:r>
        <w:t>。获得再贷款报销的贷款如出现还款情况，银行需在最近</w:t>
      </w:r>
      <w:r>
        <w:rPr>
          <w:rFonts w:hint="eastAsia"/>
          <w:lang w:eastAsia="zh-CN"/>
        </w:rPr>
        <w:t>一次</w:t>
      </w:r>
      <w:r>
        <w:t>的再贷款资金申请（展期）中予以扣减，提出申请核减的再</w:t>
      </w:r>
      <w:r>
        <w:rPr>
          <w:rFonts w:hint="eastAsia"/>
          <w:lang w:eastAsia="zh-CN"/>
        </w:rPr>
        <w:t>贷</w:t>
      </w:r>
      <w:r>
        <w:t>款金额，并说明情况，申请核减再贷款金额按照实际报销比例</w:t>
      </w:r>
      <w:r>
        <w:rPr>
          <w:rFonts w:hint="eastAsia"/>
          <w:lang w:eastAsia="zh-CN"/>
        </w:rPr>
        <w:t>确定</w:t>
      </w:r>
      <w:r>
        <w:t>。</w:t>
      </w:r>
    </w:p>
    <w:p w14:paraId="4C17B175">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若银行申请核减的再贷款金额超出新申请再贷款金额的，暂停申报再贷款，直至超出部分的再贷款资金使用完毕、能够有足额的合格贷款对应，方可恢复再贷款申报资格。对于存在上述情形的，中国人民银行将向有关银行进行工作提示，督促其加快贷款投放，提高再贷款资金使用效率。</w:t>
      </w:r>
    </w:p>
    <w:p w14:paraId="102A5D3D">
      <w:pPr>
        <w:pStyle w:val="2"/>
        <w:keepNext w:val="0"/>
        <w:keepLines w:val="0"/>
        <w:pageBreakBefore w:val="0"/>
        <w:widowControl w:val="0"/>
        <w:numPr>
          <w:ilvl w:val="0"/>
          <w:numId w:val="0"/>
        </w:numPr>
        <w:kinsoku/>
        <w:wordWrap/>
        <w:overflowPunct w:val="0"/>
        <w:topLinePunct/>
        <w:autoSpaceDE/>
        <w:autoSpaceDN/>
        <w:bidi w:val="0"/>
        <w:snapToGrid/>
        <w:spacing w:beforeLines="0" w:afterLines="0" w:line="620" w:lineRule="exact"/>
        <w:ind w:left="0" w:leftChars="0" w:firstLine="616" w:firstLineChars="0"/>
        <w:textAlignment w:val="auto"/>
      </w:pPr>
      <w:r>
        <w:rPr>
          <w:rFonts w:hint="eastAsia" w:ascii="Times New Roman" w:hAnsi="Times New Roman" w:eastAsia="黑体" w:cs="Times New Roman"/>
          <w:spacing w:val="-6"/>
          <w:kern w:val="2"/>
          <w:sz w:val="32"/>
          <w:szCs w:val="32"/>
          <w:lang w:bidi="ar-SA"/>
        </w:rPr>
        <w:t>七、</w:t>
      </w:r>
      <w:r>
        <w:t>对于科技创新贷款，银行向名单内科技型中小企业提供的供应链融资，是否纳入再贷款支持范围？</w:t>
      </w:r>
    </w:p>
    <w:p w14:paraId="1066D434">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对于银行向名单内科技型中小企业发放的应收账款、预付款、存货、仓单等权利和动产质押贷款以及办理的应收账款保理融资</w:t>
      </w:r>
      <w:r>
        <w:rPr>
          <w:rFonts w:hint="eastAsia"/>
          <w:lang w:eastAsia="zh-CN"/>
        </w:rPr>
        <w:t>，</w:t>
      </w:r>
      <w:r>
        <w:t>符合条件的可以申报再贷款资金，中国人民银行按规定给予政策支持。</w:t>
      </w:r>
    </w:p>
    <w:p w14:paraId="51A608FD">
      <w:pPr>
        <w:pStyle w:val="2"/>
        <w:keepNext w:val="0"/>
        <w:keepLines w:val="0"/>
        <w:pageBreakBefore w:val="0"/>
        <w:widowControl w:val="0"/>
        <w:numPr>
          <w:ilvl w:val="0"/>
          <w:numId w:val="0"/>
        </w:numPr>
        <w:kinsoku/>
        <w:wordWrap/>
        <w:overflowPunct w:val="0"/>
        <w:topLinePunct/>
        <w:autoSpaceDE/>
        <w:autoSpaceDN/>
        <w:bidi w:val="0"/>
        <w:snapToGrid/>
        <w:spacing w:beforeLines="0" w:afterLines="0" w:line="620" w:lineRule="exact"/>
        <w:ind w:left="0" w:leftChars="0" w:firstLine="616" w:firstLineChars="0"/>
        <w:textAlignment w:val="auto"/>
      </w:pPr>
      <w:r>
        <w:rPr>
          <w:rFonts w:hint="eastAsia" w:ascii="Times New Roman" w:hAnsi="Times New Roman" w:eastAsia="黑体" w:cs="Times New Roman"/>
          <w:spacing w:val="-6"/>
          <w:kern w:val="2"/>
          <w:sz w:val="32"/>
          <w:szCs w:val="32"/>
          <w:lang w:bidi="ar-SA"/>
        </w:rPr>
        <w:t>八、</w:t>
      </w:r>
      <w:r>
        <w:t>对于科技创新贷款，银行向名单内科技型中小企业发放的贷款，哪些可以纳入“双周”监测统计？</w:t>
      </w:r>
    </w:p>
    <w:p w14:paraId="66FEC637">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在报送科技创新融资对接和贷款投放“双周”监测表时，银行向名单内科技型中小企业发放的，贷款合同期限不低于1年</w:t>
      </w:r>
      <w:r>
        <w:rPr>
          <w:rFonts w:hint="eastAsia"/>
          <w:lang w:eastAsia="zh-CN"/>
        </w:rPr>
        <w:t>（</w:t>
      </w:r>
      <w:r>
        <w:t>360天）且贷款合同签订和贷款发放日期在2024年3月7</w:t>
      </w:r>
      <w:r>
        <w:rPr>
          <w:rFonts w:hint="eastAsia"/>
          <w:lang w:eastAsia="zh-CN"/>
        </w:rPr>
        <w:t>日</w:t>
      </w:r>
      <w:r>
        <w:t>及以后的合格贷款，均可纳入统计。</w:t>
      </w:r>
    </w:p>
    <w:p w14:paraId="76D93DDE">
      <w:pPr>
        <w:pStyle w:val="2"/>
        <w:keepNext w:val="0"/>
        <w:keepLines w:val="0"/>
        <w:pageBreakBefore w:val="0"/>
        <w:widowControl w:val="0"/>
        <w:numPr>
          <w:ilvl w:val="0"/>
          <w:numId w:val="0"/>
        </w:numPr>
        <w:kinsoku/>
        <w:wordWrap/>
        <w:overflowPunct w:val="0"/>
        <w:topLinePunct/>
        <w:autoSpaceDE/>
        <w:autoSpaceDN/>
        <w:bidi w:val="0"/>
        <w:snapToGrid/>
        <w:spacing w:beforeLines="0" w:afterLines="0" w:line="620" w:lineRule="exact"/>
        <w:ind w:left="0" w:leftChars="0" w:firstLine="616" w:firstLineChars="0"/>
        <w:textAlignment w:val="auto"/>
      </w:pPr>
      <w:r>
        <w:rPr>
          <w:rFonts w:hint="eastAsia" w:ascii="Times New Roman" w:hAnsi="Times New Roman" w:eastAsia="黑体" w:cs="Times New Roman"/>
          <w:spacing w:val="-6"/>
          <w:kern w:val="2"/>
          <w:sz w:val="32"/>
          <w:szCs w:val="32"/>
          <w:lang w:bidi="ar-SA"/>
        </w:rPr>
        <w:t>九、</w:t>
      </w:r>
      <w:r>
        <w:t>行业主管部门推送的科技创新再贷款备选科技型中小企业的创新积分评价标准是什么？</w:t>
      </w:r>
    </w:p>
    <w:p w14:paraId="713D605D">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科技部、工业和信息化部等行业主管部门依托“创新积分制”，对科技型中小企业进行评价赋分，将分值大于等于60分的科技型中小企业作为科技创新再贷款支持备选企业发送给中国人民银行，并进行无贷户筛选。</w:t>
      </w:r>
    </w:p>
    <w:p w14:paraId="43871796">
      <w:pPr>
        <w:pStyle w:val="2"/>
        <w:keepNext w:val="0"/>
        <w:keepLines w:val="0"/>
        <w:pageBreakBefore w:val="0"/>
        <w:widowControl w:val="0"/>
        <w:numPr>
          <w:ilvl w:val="0"/>
          <w:numId w:val="0"/>
        </w:numPr>
        <w:kinsoku/>
        <w:wordWrap/>
        <w:overflowPunct w:val="0"/>
        <w:topLinePunct/>
        <w:autoSpaceDE/>
        <w:autoSpaceDN/>
        <w:bidi w:val="0"/>
        <w:snapToGrid/>
        <w:spacing w:beforeLines="0" w:afterLines="0" w:line="620" w:lineRule="exact"/>
        <w:ind w:left="0" w:leftChars="0" w:firstLine="616" w:firstLineChars="0"/>
        <w:textAlignment w:val="auto"/>
      </w:pPr>
      <w:r>
        <w:rPr>
          <w:rFonts w:hint="eastAsia" w:ascii="Times New Roman" w:hAnsi="Times New Roman" w:eastAsia="黑体" w:cs="Times New Roman"/>
          <w:spacing w:val="-6"/>
          <w:kern w:val="2"/>
          <w:sz w:val="32"/>
          <w:szCs w:val="32"/>
          <w:lang w:bidi="ar-SA"/>
        </w:rPr>
        <w:t>十、</w:t>
      </w:r>
      <w:r>
        <w:t>对于科技创新贷款，再贷款支持的科技型中小企业无贷户认定标准是什么？</w:t>
      </w:r>
    </w:p>
    <w:p w14:paraId="7377ABD2">
      <w:pPr>
        <w:pStyle w:val="11"/>
        <w:keepNext w:val="0"/>
        <w:keepLines w:val="0"/>
        <w:pageBreakBefore w:val="0"/>
        <w:widowControl w:val="0"/>
        <w:kinsoku/>
        <w:wordWrap/>
        <w:overflowPunct w:val="0"/>
        <w:topLinePunct/>
        <w:autoSpaceDE/>
        <w:autoSpaceDN/>
        <w:bidi w:val="0"/>
        <w:snapToGrid/>
        <w:spacing w:afterLines="0" w:line="620" w:lineRule="exact"/>
        <w:textAlignment w:val="auto"/>
      </w:pPr>
      <w:r>
        <w:t>依托人民银行征信系统，按照截至有关部委向人民银行提供备选科技型企业名单来函日期企业贷款余额为零的标准，筛选确定无贷户。</w:t>
      </w:r>
    </w:p>
    <mc:AlternateContent>
      <mc:Choice Requires="wpsCustomData">
        <wpsCustomData:docfieldEnd id="2"/>
      </mc:Choice>
    </mc:AlternateContent>
    <w:p w14:paraId="681E3477">
      <w:pPr>
        <w:keepNext w:val="0"/>
        <w:keepLines w:val="0"/>
        <w:pageBreakBefore w:val="0"/>
        <w:widowControl w:val="0"/>
        <w:kinsoku/>
        <w:wordWrap/>
        <w:overflowPunct w:val="0"/>
        <w:topLinePunct/>
        <w:autoSpaceDE/>
        <w:autoSpaceDN/>
        <w:bidi w:val="0"/>
        <w:snapToGrid/>
        <w:spacing w:line="620" w:lineRule="exact"/>
        <w:textAlignment w:val="auto"/>
      </w:pPr>
    </w:p>
    <w:sectPr>
      <w:headerReference r:id="rId3" w:type="default"/>
      <w:footerReference r:id="rId5" w:type="default"/>
      <w:headerReference r:id="rId4" w:type="even"/>
      <w:footerReference r:id="rId6" w:type="even"/>
      <w:pgSz w:w="11906" w:h="16838"/>
      <w:pgMar w:top="2098" w:right="1474" w:bottom="1984" w:left="1587" w:header="851" w:footer="992" w:gutter="0"/>
      <w:pgNumType w:fmt="decimal"/>
      <w:cols w:space="425" w:num="1"/>
      <w:docGrid w:type="linesAndChars" w:linePitch="592" w:charSpace="16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MingLiU">
    <w:panose1 w:val="02020509000000000000"/>
    <w:charset w:val="88"/>
    <w:family w:val="auto"/>
    <w:pitch w:val="default"/>
    <w:sig w:usb0="A00002FF" w:usb1="28CFFCFA" w:usb2="00000016" w:usb3="00000000" w:csb0="00100001" w:csb1="00000000"/>
  </w:font>
  <w:font w:name="Symbol">
    <w:panose1 w:val="05050102010706020507"/>
    <w:charset w:val="00"/>
    <w:family w:val="auto"/>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9DDFE">
    <w:pPr>
      <w:pStyle w:val="12"/>
      <w:wordWrap w:val="0"/>
      <w:spacing w:line="473" w:lineRule="auto"/>
      <w:ind w:right="308" w:rightChars="100"/>
      <w:jc w:val="right"/>
      <w:rPr>
        <w:rFonts w:hint="eastAsia" w:ascii="楷体_GB2312" w:eastAsia="楷体_GB2312"/>
        <w:sz w:val="28"/>
      </w:rPr>
    </w:pPr>
    <w:r>
      <w:rPr>
        <w:rStyle w:val="18"/>
        <w:rFonts w:hint="eastAsia" w:ascii="宋体" w:hAnsi="宋体" w:eastAsia="宋体"/>
        <w:sz w:val="28"/>
      </w:rPr>
      <w:t>—</w:t>
    </w:r>
    <w:r>
      <w:rPr>
        <w:rFonts w:hint="eastAsia" w:ascii="宋体" w:hAnsi="宋体" w:eastAsia="宋体"/>
        <w:sz w:val="28"/>
      </w:rPr>
      <w:fldChar w:fldCharType="begin"/>
    </w:r>
    <w:r>
      <w:rPr>
        <w:rStyle w:val="18"/>
        <w:rFonts w:hint="eastAsia" w:ascii="宋体" w:hAnsi="宋体" w:eastAsia="宋体"/>
        <w:sz w:val="28"/>
      </w:rPr>
      <w:instrText xml:space="preserve"> PAGE </w:instrText>
    </w:r>
    <w:r>
      <w:rPr>
        <w:rFonts w:hint="eastAsia" w:ascii="宋体" w:hAnsi="宋体" w:eastAsia="宋体"/>
        <w:sz w:val="28"/>
      </w:rPr>
      <w:fldChar w:fldCharType="separate"/>
    </w:r>
    <w:r>
      <w:rPr>
        <w:rStyle w:val="18"/>
        <w:rFonts w:ascii="宋体" w:hAnsi="宋体" w:eastAsia="宋体"/>
        <w:sz w:val="28"/>
      </w:rPr>
      <w:t>1</w:t>
    </w:r>
    <w:r>
      <w:rPr>
        <w:rFonts w:hint="eastAsia" w:ascii="宋体" w:hAnsi="宋体" w:eastAsia="宋体"/>
        <w:sz w:val="28"/>
      </w:rPr>
      <w:fldChar w:fldCharType="end"/>
    </w:r>
    <w:r>
      <w:rPr>
        <w:rStyle w:val="18"/>
        <w:rFonts w:hint="eastAsia" w:ascii="宋体" w:hAnsi="宋体" w:eastAsia="宋体"/>
        <w:sz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2B4B0">
    <w:pPr>
      <w:pStyle w:val="12"/>
      <w:tabs>
        <w:tab w:val="left" w:pos="2124"/>
        <w:tab w:val="clear" w:pos="4153"/>
      </w:tabs>
      <w:spacing w:line="473" w:lineRule="auto"/>
      <w:ind w:left="308" w:leftChars="100"/>
      <w:jc w:val="left"/>
      <w:rPr>
        <w:rStyle w:val="18"/>
        <w:rFonts w:hint="eastAsia" w:ascii="宋体" w:hAnsi="宋体" w:eastAsia="宋体"/>
        <w:position w:val="-28"/>
        <w:sz w:val="28"/>
      </w:rPr>
    </w:pPr>
    <w:r>
      <w:rPr>
        <w:rStyle w:val="18"/>
        <w:rFonts w:hint="eastAsia" w:ascii="宋体" w:hAnsi="宋体" w:eastAsia="宋体"/>
        <w:position w:val="-28"/>
        <w:sz w:val="28"/>
      </w:rPr>
      <w:t>—</w:t>
    </w:r>
    <w:r>
      <w:rPr>
        <w:rFonts w:hint="eastAsia" w:ascii="宋体" w:hAnsi="宋体" w:eastAsia="宋体"/>
        <w:position w:val="-28"/>
        <w:sz w:val="28"/>
      </w:rPr>
      <w:fldChar w:fldCharType="begin"/>
    </w:r>
    <w:r>
      <w:rPr>
        <w:rStyle w:val="18"/>
        <w:rFonts w:hint="eastAsia" w:ascii="宋体" w:hAnsi="宋体" w:eastAsia="宋体"/>
        <w:position w:val="-28"/>
        <w:sz w:val="28"/>
      </w:rPr>
      <w:instrText xml:space="preserve"> PAGE </w:instrText>
    </w:r>
    <w:r>
      <w:rPr>
        <w:rFonts w:hint="eastAsia" w:ascii="宋体" w:hAnsi="宋体" w:eastAsia="宋体"/>
        <w:position w:val="-28"/>
        <w:sz w:val="28"/>
      </w:rPr>
      <w:fldChar w:fldCharType="separate"/>
    </w:r>
    <w:r>
      <w:rPr>
        <w:rStyle w:val="18"/>
        <w:rFonts w:ascii="宋体" w:hAnsi="宋体" w:eastAsia="宋体"/>
        <w:position w:val="-28"/>
        <w:sz w:val="28"/>
      </w:rPr>
      <w:t>4</w:t>
    </w:r>
    <w:r>
      <w:rPr>
        <w:rFonts w:hint="eastAsia" w:ascii="宋体" w:hAnsi="宋体" w:eastAsia="宋体"/>
        <w:position w:val="-28"/>
        <w:sz w:val="28"/>
      </w:rPr>
      <w:fldChar w:fldCharType="end"/>
    </w:r>
    <w:r>
      <w:rPr>
        <w:rStyle w:val="18"/>
        <w:rFonts w:hint="eastAsia" w:ascii="宋体" w:hAnsi="宋体" w:eastAsia="宋体"/>
        <w:position w:val="-28"/>
        <w:sz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3596F">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A5E5B">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kMGMwNzM2ZjdlMTVlYzk0YmRiZGJlNjEyOTVmMjAifQ=="/>
  </w:docVars>
  <w:rsids>
    <w:rsidRoot w:val="3A5B4705"/>
    <w:rsid w:val="2BEB3E6D"/>
    <w:rsid w:val="3A5B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topLinePunct/>
      <w:autoSpaceDN w:val="0"/>
      <w:jc w:val="both"/>
    </w:pPr>
    <w:rPr>
      <w:rFonts w:ascii="Times New Roman" w:hAnsi="Times New Roman" w:eastAsia="仿宋_GB2312" w:cs="Times New Roman"/>
      <w:spacing w:val="-6"/>
      <w:kern w:val="2"/>
      <w:sz w:val="32"/>
      <w:szCs w:val="32"/>
      <w:lang w:bidi="ar-SA"/>
    </w:rPr>
  </w:style>
  <w:style w:type="paragraph" w:styleId="2">
    <w:name w:val="heading 1"/>
    <w:next w:val="1"/>
    <w:qFormat/>
    <w:uiPriority w:val="0"/>
    <w:pPr>
      <w:keepNext w:val="0"/>
      <w:keepLines w:val="0"/>
      <w:widowControl w:val="0"/>
      <w:overflowPunct w:val="0"/>
      <w:topLinePunct/>
      <w:autoSpaceDN/>
      <w:spacing w:beforeLines="0" w:beforeAutospacing="0" w:afterLines="0" w:afterAutospacing="0" w:line="240" w:lineRule="auto"/>
      <w:ind w:firstLine="628" w:firstLineChars="200"/>
      <w:jc w:val="both"/>
      <w:outlineLvl w:val="0"/>
    </w:pPr>
    <w:rPr>
      <w:rFonts w:ascii="Times New Roman" w:hAnsi="Times New Roman" w:eastAsia="黑体" w:cs="Times New Roman"/>
      <w:spacing w:val="-6"/>
      <w:kern w:val="2"/>
      <w:sz w:val="32"/>
      <w:szCs w:val="32"/>
      <w:lang w:bidi="ar-SA"/>
    </w:rPr>
  </w:style>
  <w:style w:type="paragraph" w:styleId="3">
    <w:name w:val="heading 2"/>
    <w:next w:val="1"/>
    <w:semiHidden/>
    <w:unhideWhenUsed/>
    <w:qFormat/>
    <w:uiPriority w:val="0"/>
    <w:pPr>
      <w:keepNext w:val="0"/>
      <w:keepLines w:val="0"/>
      <w:widowControl w:val="0"/>
      <w:overflowPunct w:val="0"/>
      <w:topLinePunct/>
      <w:autoSpaceDN/>
      <w:spacing w:beforeLines="0" w:beforeAutospacing="0" w:afterLines="0" w:afterAutospacing="0" w:line="240" w:lineRule="auto"/>
      <w:ind w:firstLine="628" w:firstLineChars="200"/>
      <w:jc w:val="both"/>
      <w:outlineLvl w:val="1"/>
    </w:pPr>
    <w:rPr>
      <w:rFonts w:ascii="Times New Roman" w:hAnsi="Times New Roman" w:eastAsia="楷体" w:cs="Times New Roman"/>
      <w:spacing w:val="-6"/>
      <w:kern w:val="2"/>
      <w:sz w:val="32"/>
      <w:szCs w:val="32"/>
      <w:lang w:bidi="ar-SA"/>
    </w:rPr>
  </w:style>
  <w:style w:type="paragraph" w:styleId="4">
    <w:name w:val="heading 3"/>
    <w:next w:val="1"/>
    <w:semiHidden/>
    <w:unhideWhenUsed/>
    <w:qFormat/>
    <w:uiPriority w:val="0"/>
    <w:pPr>
      <w:keepNext w:val="0"/>
      <w:keepLines w:val="0"/>
      <w:widowControl w:val="0"/>
      <w:overflowPunct w:val="0"/>
      <w:topLinePunct/>
      <w:autoSpaceDN/>
      <w:spacing w:beforeLines="0" w:beforeAutospacing="0" w:afterLines="0" w:afterAutospacing="0" w:line="240" w:lineRule="auto"/>
      <w:ind w:firstLine="628" w:firstLineChars="200"/>
      <w:jc w:val="both"/>
      <w:outlineLvl w:val="2"/>
    </w:pPr>
    <w:rPr>
      <w:rFonts w:ascii="Times New Roman" w:hAnsi="Times New Roman" w:eastAsia="仿宋" w:cs="Times New Roman"/>
      <w:spacing w:val="-6"/>
      <w:kern w:val="2"/>
      <w:sz w:val="32"/>
      <w:szCs w:val="32"/>
      <w:lang w:bidi="ar-SA"/>
    </w:rPr>
  </w:style>
  <w:style w:type="paragraph" w:styleId="5">
    <w:name w:val="heading 4"/>
    <w:next w:val="1"/>
    <w:semiHidden/>
    <w:unhideWhenUsed/>
    <w:qFormat/>
    <w:uiPriority w:val="0"/>
    <w:pPr>
      <w:keepNext w:val="0"/>
      <w:keepLines w:val="0"/>
      <w:widowControl w:val="0"/>
      <w:overflowPunct w:val="0"/>
      <w:topLinePunct/>
      <w:autoSpaceDN/>
      <w:spacing w:beforeLines="0" w:beforeAutospacing="0" w:afterLines="0" w:afterAutospacing="0" w:line="240" w:lineRule="auto"/>
      <w:ind w:firstLine="628" w:firstLineChars="200"/>
      <w:jc w:val="both"/>
      <w:outlineLvl w:val="3"/>
    </w:pPr>
    <w:rPr>
      <w:rFonts w:ascii="Times New Roman" w:hAnsi="Times New Roman" w:eastAsia="仿宋" w:cs="Times New Roman"/>
      <w:spacing w:val="-6"/>
      <w:kern w:val="2"/>
      <w:sz w:val="32"/>
      <w:szCs w:val="32"/>
      <w:lang w:bidi="ar-SA"/>
    </w:rPr>
  </w:style>
  <w:style w:type="paragraph" w:styleId="6">
    <w:name w:val="heading 5"/>
    <w:next w:val="1"/>
    <w:semiHidden/>
    <w:unhideWhenUsed/>
    <w:qFormat/>
    <w:uiPriority w:val="0"/>
    <w:pPr>
      <w:keepNext/>
      <w:keepLines/>
      <w:widowControl w:val="0"/>
      <w:overflowPunct w:val="0"/>
      <w:topLinePunct/>
      <w:autoSpaceDN w:val="0"/>
      <w:spacing w:beforeLines="0" w:beforeAutospacing="0" w:afterLines="0" w:afterAutospacing="0" w:line="240" w:lineRule="auto"/>
      <w:ind w:firstLine="632" w:firstLineChars="200"/>
      <w:jc w:val="both"/>
      <w:outlineLvl w:val="4"/>
    </w:pPr>
    <w:rPr>
      <w:rFonts w:ascii="Times New Roman" w:hAnsi="Times New Roman" w:eastAsia="仿宋_GB2312" w:cs="Times New Roman"/>
      <w:spacing w:val="-6"/>
      <w:kern w:val="2"/>
      <w:sz w:val="32"/>
      <w:szCs w:val="32"/>
      <w:lang w:bidi="ar-SA"/>
    </w:rPr>
  </w:style>
  <w:style w:type="paragraph" w:styleId="7">
    <w:name w:val="heading 6"/>
    <w:next w:val="1"/>
    <w:semiHidden/>
    <w:unhideWhenUsed/>
    <w:qFormat/>
    <w:uiPriority w:val="0"/>
    <w:pPr>
      <w:keepNext/>
      <w:keepLines/>
      <w:widowControl w:val="0"/>
      <w:overflowPunct w:val="0"/>
      <w:topLinePunct/>
      <w:autoSpaceDN w:val="0"/>
      <w:spacing w:beforeLines="0" w:beforeAutospacing="0" w:afterLines="0" w:afterAutospacing="0" w:line="240" w:lineRule="auto"/>
      <w:ind w:firstLine="632" w:firstLineChars="200"/>
      <w:jc w:val="both"/>
      <w:outlineLvl w:val="5"/>
    </w:pPr>
    <w:rPr>
      <w:rFonts w:ascii="Times New Roman" w:hAnsi="Times New Roman" w:eastAsia="仿宋_GB2312" w:cs="Times New Roman"/>
      <w:spacing w:val="-6"/>
      <w:kern w:val="2"/>
      <w:sz w:val="32"/>
      <w:szCs w:val="32"/>
      <w:lang w:bidi="ar-SA"/>
    </w:rPr>
  </w:style>
  <w:style w:type="paragraph" w:styleId="8">
    <w:name w:val="heading 7"/>
    <w:next w:val="1"/>
    <w:semiHidden/>
    <w:unhideWhenUsed/>
    <w:qFormat/>
    <w:uiPriority w:val="0"/>
    <w:pPr>
      <w:keepNext/>
      <w:keepLines/>
      <w:widowControl w:val="0"/>
      <w:overflowPunct w:val="0"/>
      <w:topLinePunct/>
      <w:autoSpaceDN w:val="0"/>
      <w:spacing w:beforeLines="0" w:beforeAutospacing="0" w:afterLines="0" w:afterAutospacing="0" w:line="240" w:lineRule="auto"/>
      <w:ind w:firstLine="632" w:firstLineChars="200"/>
      <w:jc w:val="both"/>
      <w:outlineLvl w:val="6"/>
    </w:pPr>
    <w:rPr>
      <w:rFonts w:ascii="Times New Roman" w:hAnsi="Times New Roman" w:eastAsia="仿宋_GB2312" w:cs="Times New Roman"/>
      <w:spacing w:val="-6"/>
      <w:kern w:val="2"/>
      <w:sz w:val="32"/>
      <w:szCs w:val="32"/>
      <w:lang w:bidi="ar-SA"/>
    </w:rPr>
  </w:style>
  <w:style w:type="paragraph" w:styleId="9">
    <w:name w:val="heading 8"/>
    <w:next w:val="1"/>
    <w:semiHidden/>
    <w:unhideWhenUsed/>
    <w:qFormat/>
    <w:uiPriority w:val="0"/>
    <w:pPr>
      <w:keepNext/>
      <w:keepLines/>
      <w:widowControl w:val="0"/>
      <w:overflowPunct w:val="0"/>
      <w:topLinePunct/>
      <w:autoSpaceDN w:val="0"/>
      <w:spacing w:beforeLines="0" w:beforeAutospacing="0" w:afterLines="0" w:afterAutospacing="0" w:line="240" w:lineRule="auto"/>
      <w:ind w:firstLine="632" w:firstLineChars="200"/>
      <w:jc w:val="both"/>
      <w:outlineLvl w:val="7"/>
    </w:pPr>
    <w:rPr>
      <w:rFonts w:ascii="Times New Roman" w:hAnsi="Times New Roman" w:eastAsia="仿宋_GB2312" w:cs="Times New Roman"/>
      <w:spacing w:val="-6"/>
      <w:kern w:val="2"/>
      <w:sz w:val="32"/>
      <w:szCs w:val="32"/>
      <w:lang w:bidi="ar-SA"/>
    </w:rPr>
  </w:style>
  <w:style w:type="paragraph" w:styleId="10">
    <w:name w:val="heading 9"/>
    <w:next w:val="1"/>
    <w:semiHidden/>
    <w:unhideWhenUsed/>
    <w:qFormat/>
    <w:uiPriority w:val="0"/>
    <w:pPr>
      <w:keepNext/>
      <w:keepLines/>
      <w:widowControl w:val="0"/>
      <w:overflowPunct w:val="0"/>
      <w:topLinePunct/>
      <w:autoSpaceDN w:val="0"/>
      <w:spacing w:beforeLines="0" w:beforeAutospacing="0" w:afterLines="0" w:afterAutospacing="0" w:line="240" w:lineRule="auto"/>
      <w:ind w:firstLine="632" w:firstLineChars="200"/>
      <w:jc w:val="both"/>
      <w:outlineLvl w:val="8"/>
    </w:pPr>
    <w:rPr>
      <w:rFonts w:ascii="Times New Roman" w:hAnsi="Times New Roman" w:eastAsia="仿宋_GB2312" w:cs="Times New Roman"/>
      <w:spacing w:val="-6"/>
      <w:kern w:val="2"/>
      <w:sz w:val="32"/>
      <w:szCs w:val="32"/>
      <w:lang w:bidi="ar-SA"/>
    </w:rPr>
  </w:style>
  <w:style w:type="character" w:default="1" w:styleId="17">
    <w:name w:val="Default Paragraph Font"/>
    <w:semiHidden/>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11">
    <w:name w:val="Body Text"/>
    <w:uiPriority w:val="0"/>
    <w:pPr>
      <w:widowControl w:val="0"/>
      <w:overflowPunct w:val="0"/>
      <w:topLinePunct/>
      <w:autoSpaceDN/>
      <w:spacing w:afterLines="0" w:afterAutospacing="0"/>
      <w:ind w:firstLine="632" w:firstLineChars="200"/>
      <w:jc w:val="both"/>
    </w:pPr>
    <w:rPr>
      <w:rFonts w:ascii="Times New Roman" w:hAnsi="Times New Roman" w:eastAsia="仿宋_GB2312" w:cs="Times New Roman"/>
      <w:spacing w:val="-6"/>
      <w:kern w:val="2"/>
      <w:sz w:val="32"/>
      <w:szCs w:val="32"/>
      <w:lang w:bidi="ar-SA"/>
    </w:rPr>
  </w:style>
  <w:style w:type="paragraph" w:styleId="12">
    <w:name w:val="footer"/>
    <w:basedOn w:val="1"/>
    <w:qFormat/>
    <w:uiPriority w:val="0"/>
    <w:pPr>
      <w:tabs>
        <w:tab w:val="center" w:pos="4153"/>
        <w:tab w:val="right" w:pos="8306"/>
      </w:tabs>
      <w:overflowPunct w:val="0"/>
      <w:autoSpaceDE w:val="0"/>
      <w:autoSpaceDN w:val="0"/>
      <w:adjustRightInd w:val="0"/>
      <w:spacing w:line="240" w:lineRule="atLeast"/>
      <w:jc w:val="both"/>
      <w:textAlignment w:val="baseline"/>
    </w:pPr>
    <w:rPr>
      <w:rFonts w:hint="default" w:ascii="Times New Roman" w:hAnsi="Times New Roman" w:eastAsia="仿宋_GB2312" w:cs="Times New Roman"/>
      <w:spacing w:val="-6"/>
      <w:sz w:val="20"/>
      <w:szCs w:val="20"/>
    </w:rPr>
  </w:style>
  <w:style w:type="paragraph" w:styleId="13">
    <w:name w:val="header"/>
    <w:basedOn w:val="1"/>
    <w:qFormat/>
    <w:uiPriority w:val="0"/>
    <w:pPr>
      <w:tabs>
        <w:tab w:val="center" w:pos="4153"/>
        <w:tab w:val="right" w:pos="8306"/>
      </w:tabs>
      <w:overflowPunct w:val="0"/>
      <w:autoSpaceDE w:val="0"/>
      <w:autoSpaceDN w:val="0"/>
      <w:adjustRightInd w:val="0"/>
      <w:spacing w:line="240" w:lineRule="atLeast"/>
      <w:jc w:val="both"/>
      <w:textAlignment w:val="baseline"/>
    </w:pPr>
    <w:rPr>
      <w:rFonts w:hint="default" w:ascii="Times New Roman" w:hAnsi="Times New Roman" w:eastAsia="仿宋_GB2312" w:cs="Times New Roman"/>
      <w:spacing w:val="-6"/>
      <w:sz w:val="20"/>
      <w:szCs w:val="20"/>
    </w:rPr>
  </w:style>
  <w:style w:type="paragraph" w:styleId="14">
    <w:name w:val="Subtitle"/>
    <w:qFormat/>
    <w:uiPriority w:val="0"/>
    <w:pPr>
      <w:widowControl w:val="0"/>
      <w:overflowPunct w:val="0"/>
      <w:topLinePunct/>
      <w:autoSpaceDN w:val="0"/>
      <w:spacing w:beforeLines="0" w:beforeAutospacing="0" w:afterLines="0" w:afterAutospacing="0" w:line="240" w:lineRule="auto"/>
      <w:jc w:val="center"/>
      <w:outlineLvl w:val="9"/>
    </w:pPr>
    <w:rPr>
      <w:rFonts w:ascii="Times New Roman" w:hAnsi="Times New Roman" w:eastAsia="方正小标宋_GBK" w:cs="Times New Roman"/>
      <w:spacing w:val="-6"/>
      <w:kern w:val="28"/>
      <w:sz w:val="32"/>
      <w:szCs w:val="32"/>
      <w:lang w:bidi="ar-SA"/>
    </w:rPr>
  </w:style>
  <w:style w:type="paragraph" w:styleId="15">
    <w:name w:val="Title"/>
    <w:qFormat/>
    <w:uiPriority w:val="0"/>
    <w:pPr>
      <w:widowControl w:val="0"/>
      <w:overflowPunct w:val="0"/>
      <w:topLinePunct/>
      <w:autoSpaceDN w:val="0"/>
      <w:spacing w:beforeLines="0" w:beforeAutospacing="0" w:afterLines="0" w:afterAutospacing="0"/>
      <w:jc w:val="center"/>
      <w:outlineLvl w:val="9"/>
    </w:pPr>
    <w:rPr>
      <w:rFonts w:ascii="Times New Roman" w:hAnsi="Times New Roman" w:eastAsia="方正小标宋_GBK" w:cs="Times New Roman"/>
      <w:spacing w:val="-6"/>
      <w:kern w:val="2"/>
      <w:sz w:val="44"/>
      <w:szCs w:val="32"/>
      <w:lang w:bidi="ar-SA"/>
    </w:rPr>
  </w:style>
  <w:style w:type="character" w:styleId="18">
    <w:name w:val="page number"/>
    <w:basedOn w:val="17"/>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24</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2024-09-10T01:34:00Z</dcterms:created>
  <dc:creator>CC✨璇</dc:creator>
  <cp:lastModifiedBy>CC✨璇</cp:lastModifiedBy>
  <dcterms:modified xsi:type="dcterms:W3CDTF">2024-09-10T01:59:23Z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A35E4D0FAD104FA1A3DEB1E0AD6A95CC_11</vt:lpwstr>
  </property>
</Properties>
</file>