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1446" w:firstLineChars="400"/>
        <w:jc w:val="both"/>
        <w:textAlignment w:val="auto"/>
        <w:rPr>
          <w:rFonts w:hint="eastAsia"/>
          <w:b/>
          <w:color w:val="3D3D3D"/>
          <w:sz w:val="36"/>
          <w:szCs w:val="36"/>
        </w:rPr>
      </w:pPr>
      <w:bookmarkStart w:id="0" w:name="_GoBack"/>
      <w:r>
        <w:rPr>
          <w:rFonts w:hint="eastAsia"/>
          <w:b/>
          <w:color w:val="3D3D3D"/>
          <w:sz w:val="36"/>
          <w:szCs w:val="36"/>
          <w:lang w:eastAsia="zh-CN"/>
        </w:rPr>
        <w:t>财政局</w:t>
      </w:r>
      <w:r>
        <w:rPr>
          <w:rFonts w:hint="eastAsia"/>
          <w:b/>
          <w:color w:val="3D3D3D"/>
          <w:sz w:val="36"/>
          <w:szCs w:val="36"/>
          <w:lang w:val="en-US" w:eastAsia="zh-CN"/>
        </w:rPr>
        <w:t>2019年</w:t>
      </w:r>
      <w:r>
        <w:rPr>
          <w:rFonts w:hint="eastAsia"/>
          <w:b/>
          <w:color w:val="3D3D3D"/>
          <w:sz w:val="36"/>
          <w:szCs w:val="36"/>
        </w:rPr>
        <w:t>政府信息公开工作报告</w:t>
      </w:r>
      <w:bookmarkEnd w:id="0"/>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本年度报告由长春经济技术开发区</w:t>
      </w:r>
      <w:r>
        <w:rPr>
          <w:rFonts w:hint="eastAsia" w:ascii="仿宋_GB2312" w:eastAsia="仿宋_GB2312"/>
          <w:sz w:val="32"/>
          <w:szCs w:val="32"/>
          <w:lang w:eastAsia="zh-CN"/>
        </w:rPr>
        <w:t>财政局</w:t>
      </w:r>
      <w:r>
        <w:rPr>
          <w:rFonts w:hint="eastAsia" w:ascii="仿宋_GB2312" w:eastAsia="仿宋_GB2312"/>
          <w:sz w:val="32"/>
          <w:szCs w:val="32"/>
        </w:rPr>
        <w:t>依据《中华人民共和国政府信息公开条例》（下称“《条例》”）,编制而成。全文由总体情况、主动公开政府信息情况、收到和处理政府信息公开申请情况、政府信息公开行政复议、行政诉讼情况、存在的主要问题及改进情况、其他需要报告的事项六部分组成。本报告中所列数据统计期限自2019年1月1日至2019年12月31日截止。本报告的电子版可在长春经济技术开发区门户网站（www.cetdz.gov.cn）下载。</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0" w:firstLineChars="300"/>
        <w:textAlignment w:val="auto"/>
        <w:rPr>
          <w:rFonts w:hint="eastAsia" w:ascii="黑体" w:hAnsi="黑体" w:eastAsia="黑体"/>
          <w:sz w:val="32"/>
          <w:szCs w:val="32"/>
        </w:rPr>
      </w:pPr>
      <w:r>
        <w:rPr>
          <w:rFonts w:hint="eastAsia"/>
          <w:lang w:val="en-US" w:eastAsia="zh-CN"/>
        </w:rPr>
        <w:t xml:space="preserve"> </w:t>
      </w:r>
      <w:r>
        <w:rPr>
          <w:rFonts w:hint="eastAsia" w:ascii="黑体" w:hAnsi="黑体" w:eastAsia="黑体"/>
          <w:sz w:val="32"/>
          <w:szCs w:val="32"/>
          <w:lang w:eastAsia="zh-CN"/>
        </w:rPr>
        <w:t>一、</w:t>
      </w:r>
      <w:r>
        <w:rPr>
          <w:rFonts w:hint="eastAsia" w:ascii="黑体" w:hAnsi="黑体" w:eastAsia="黑体"/>
          <w:sz w:val="32"/>
          <w:szCs w:val="32"/>
        </w:rPr>
        <w:t>总体情况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省、市委关于全面推进政务公开的部署要求，进一步推动政务公开工作的健康发展，提升政策咨询水平，财政局始终把政务公开工作作为执政为民的重要举措和打造诚信政府、阳光政府的重要平台，坚持“以公开为常态、不公开为例外”，不断完善机制，强化措施，优化平台，狠抓落实，政务公开工作水平得到明显提升。</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240" w:lineRule="auto"/>
        <w:ind w:left="420" w:leftChars="0" w:right="0" w:rightChars="0"/>
        <w:jc w:val="both"/>
        <w:textAlignment w:val="auto"/>
        <w:rPr>
          <w:rFonts w:hint="eastAsia" w:ascii="宋体" w:hAnsi="宋体" w:eastAsia="宋体" w:cs="宋体"/>
          <w:b/>
          <w:i w:val="0"/>
          <w:caps w:val="0"/>
          <w:color w:val="333333"/>
          <w:spacing w:val="0"/>
          <w:sz w:val="32"/>
          <w:szCs w:val="32"/>
          <w:shd w:val="clear" w:color="auto" w:fill="FFFFFF"/>
        </w:rPr>
      </w:pPr>
      <w:r>
        <w:rPr>
          <w:rFonts w:hint="eastAsia" w:ascii="宋体" w:hAnsi="宋体" w:eastAsia="宋体" w:cs="宋体"/>
          <w:b/>
          <w:i w:val="0"/>
          <w:caps w:val="0"/>
          <w:color w:val="333333"/>
          <w:spacing w:val="0"/>
          <w:sz w:val="32"/>
          <w:szCs w:val="32"/>
          <w:shd w:val="clear" w:color="auto" w:fill="FFFFFF"/>
        </w:rPr>
        <w:t>主动公开政府信息情况</w:t>
      </w:r>
    </w:p>
    <w:tbl>
      <w:tblPr>
        <w:tblStyle w:val="3"/>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Calibri" w:hAnsi="Calibri" w:eastAsia="宋体" w:cs="Times New Roman"/>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Calibri" w:hAnsi="Calibri" w:eastAsia="宋体" w:cs="Times New Roman"/>
                <w:kern w:val="0"/>
                <w:sz w:val="20"/>
                <w:szCs w:val="20"/>
                <w:lang w:val="en-US" w:eastAsia="zh-CN"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lang w:val="en-US" w:eastAsia="zh-CN"/>
              </w:rPr>
              <w:t>2</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color w:val="000000"/>
                <w:kern w:val="0"/>
                <w:sz w:val="20"/>
                <w:szCs w:val="20"/>
                <w:lang w:val="en-US" w:eastAsia="zh-CN" w:bidi="ar"/>
              </w:rPr>
              <w:t>4</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lang w:val="en-US"/>
              </w:rPr>
            </w:pPr>
            <w:r>
              <w:rPr>
                <w:rFonts w:hint="eastAsia" w:ascii="宋体" w:hAnsi="宋体" w:eastAsia="宋体" w:cs="宋体"/>
                <w:color w:val="000000"/>
                <w:kern w:val="0"/>
                <w:sz w:val="20"/>
                <w:szCs w:val="20"/>
                <w:lang w:val="en-US" w:eastAsia="zh-CN" w:bidi="ar"/>
              </w:rPr>
              <w:t>6</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lang w:val="en-US"/>
              </w:rPr>
            </w:pPr>
            <w:r>
              <w:rPr>
                <w:rFonts w:hint="eastAsia" w:ascii="宋体" w:hAnsi="宋体" w:eastAsia="宋体" w:cs="宋体"/>
                <w:color w:val="000000"/>
                <w:kern w:val="0"/>
                <w:sz w:val="20"/>
                <w:szCs w:val="20"/>
                <w:lang w:val="en-US" w:eastAsia="zh-CN" w:bidi="ar"/>
              </w:rPr>
              <w:t>675</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color w:val="000000"/>
                <w:kern w:val="0"/>
                <w:sz w:val="20"/>
                <w:szCs w:val="20"/>
                <w:lang w:val="en-US" w:eastAsia="zh-CN" w:bidi="ar"/>
              </w:rPr>
              <w:t>55</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lang w:val="en-US" w:eastAsia="zh-CN"/>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color w:val="000000"/>
                <w:kern w:val="0"/>
                <w:sz w:val="20"/>
                <w:szCs w:val="20"/>
                <w:lang w:val="en-US" w:eastAsia="zh-CN" w:bidi="ar"/>
              </w:rPr>
              <w:t>4</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color w:val="000000"/>
                <w:kern w:val="0"/>
                <w:sz w:val="20"/>
                <w:szCs w:val="20"/>
                <w:lang w:val="en-US" w:eastAsia="zh-CN" w:bidi="ar"/>
              </w:rPr>
              <w:t>　</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240" w:lineRule="auto"/>
        <w:ind w:right="0" w:firstLine="964" w:firstLineChars="300"/>
        <w:jc w:val="both"/>
        <w:textAlignment w:val="auto"/>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shd w:val="clear" w:color="auto" w:fill="FFFFFF"/>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2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自然人</w:t>
            </w:r>
          </w:p>
        </w:tc>
        <w:tc>
          <w:tcPr>
            <w:tcW w:w="406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法人或其他组织</w:t>
            </w:r>
          </w:p>
        </w:tc>
        <w:tc>
          <w:tcPr>
            <w:tcW w:w="70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2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商业企业</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科研机构</w:t>
            </w:r>
          </w:p>
        </w:tc>
        <w:tc>
          <w:tcPr>
            <w:tcW w:w="82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社会公益组织</w:t>
            </w:r>
          </w:p>
        </w:tc>
        <w:tc>
          <w:tcPr>
            <w:tcW w:w="99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法律服务机构</w:t>
            </w:r>
          </w:p>
        </w:tc>
        <w:tc>
          <w:tcPr>
            <w:tcW w:w="72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其他</w:t>
            </w:r>
          </w:p>
        </w:tc>
        <w:tc>
          <w:tcPr>
            <w:tcW w:w="70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（一）予以公开</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（三）不予公开</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1.属于国家秘密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（四）无法提供</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（五）不予处理</w:t>
            </w: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2.重复申请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1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（六）其他处理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2985"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楷体" w:hAnsi="楷体" w:eastAsia="楷体" w:cs="楷体"/>
                <w:kern w:val="0"/>
                <w:sz w:val="20"/>
                <w:szCs w:val="20"/>
                <w:lang w:val="en-US" w:eastAsia="zh-CN" w:bidi="ar"/>
              </w:rPr>
              <w:t>（七）总计</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eastAsia="宋体"/>
                <w:sz w:val="24"/>
                <w:szCs w:val="24"/>
                <w:lang w:val="en-US" w:eastAsia="zh-CN"/>
              </w:rPr>
            </w:pPr>
            <w:r>
              <w:rPr>
                <w:rFonts w:hint="eastAsia" w:ascii="宋体" w:eastAsia="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82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9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70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eastAsia="宋体"/>
                <w:sz w:val="24"/>
                <w:szCs w:val="24"/>
                <w:lang w:val="en-US" w:eastAsia="zh-CN"/>
              </w:rPr>
            </w:pPr>
            <w:r>
              <w:rPr>
                <w:rFonts w:hint="eastAsia" w:ascii="宋体" w:eastAsia="宋体"/>
                <w:sz w:val="24"/>
                <w:szCs w:val="24"/>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shd w:val="clear" w:color="auto" w:fill="FFFFFF"/>
        </w:rPr>
        <w:t>四、政府信息公开行政复议、行政诉讼情况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caps w:val="0"/>
          <w:color w:val="333333"/>
          <w:spacing w:val="0"/>
          <w:sz w:val="24"/>
          <w:szCs w:val="24"/>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530"/>
        <w:gridCol w:w="680"/>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总计</w:t>
            </w:r>
          </w:p>
        </w:tc>
        <w:tc>
          <w:tcPr>
            <w:tcW w:w="289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102"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尚未审结</w:t>
            </w:r>
          </w:p>
        </w:tc>
        <w:tc>
          <w:tcPr>
            <w:tcW w:w="53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8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default" w:ascii="Calibri" w:hAnsi="Calibri" w:eastAsia="宋体" w:cs="Calibri"/>
                <w:kern w:val="0"/>
                <w:sz w:val="20"/>
                <w:szCs w:val="20"/>
                <w:lang w:val="en-US" w:eastAsia="zh-CN" w:bidi="ar"/>
              </w:rPr>
              <w:t> </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ascii="宋体"/>
                <w:sz w:val="24"/>
                <w:szCs w:val="24"/>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5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sz w:val="24"/>
                <w:szCs w:val="24"/>
                <w:lang w:val="en-US" w:eastAsia="zh-CN"/>
              </w:rPr>
              <w:t>0 </w:t>
            </w:r>
          </w:p>
        </w:tc>
        <w:tc>
          <w:tcPr>
            <w:tcW w:w="68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color w:val="000000"/>
                <w:kern w:val="0"/>
                <w:sz w:val="20"/>
                <w:szCs w:val="20"/>
                <w:lang w:val="en-US" w:eastAsia="zh-CN"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pPr>
            <w:r>
              <w:rPr>
                <w:rFonts w:hint="eastAsia" w:ascii="宋体" w:hAnsi="宋体" w:eastAsia="宋体" w:cs="宋体"/>
                <w:kern w:val="0"/>
                <w:sz w:val="20"/>
                <w:szCs w:val="20"/>
                <w:lang w:val="en-US" w:eastAsia="zh-CN"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sz w:val="24"/>
                <w:szCs w:val="24"/>
                <w:lang w:val="en-US" w:eastAsia="zh-CN"/>
              </w:rPr>
            </w:pPr>
            <w:r>
              <w:rPr>
                <w:rFonts w:hint="eastAsia" w:ascii="宋体"/>
                <w:sz w:val="24"/>
                <w:szCs w:val="24"/>
                <w:lang w:val="en-US" w:eastAsia="zh-CN"/>
              </w:rPr>
              <w:t>0</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240" w:lineRule="auto"/>
        <w:ind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b/>
          <w:i w:val="0"/>
          <w:caps w:val="0"/>
          <w:color w:val="333333"/>
          <w:spacing w:val="0"/>
          <w:sz w:val="32"/>
          <w:szCs w:val="32"/>
          <w:shd w:val="clear" w:color="auto" w:fill="FFFFFF"/>
          <w:lang w:eastAsia="zh-CN"/>
        </w:rPr>
        <w:t>五、</w:t>
      </w:r>
      <w:r>
        <w:rPr>
          <w:rFonts w:hint="eastAsia" w:ascii="宋体" w:hAnsi="宋体" w:eastAsia="宋体" w:cs="宋体"/>
          <w:b/>
          <w:i w:val="0"/>
          <w:caps w:val="0"/>
          <w:color w:val="333333"/>
          <w:spacing w:val="0"/>
          <w:sz w:val="32"/>
          <w:szCs w:val="32"/>
          <w:shd w:val="clear" w:color="auto" w:fill="FFFFFF"/>
        </w:rPr>
        <w:t>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从2019年政府信息公开工作的实际情况看，我局对政府信息公开的认识和重视还有待提高，尤其是主动公开政府信息的工作力度需要进一步加强。2020年，财政局将继续提高全体工作人员对政府信息公开的认识，提升工作人员的能力和业务水平，强化主动公开的工作力度，确保政府信息及时、主动公开，保障群众知情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cs="宋体"/>
          <w:i w:val="0"/>
          <w:caps w:val="0"/>
          <w:color w:val="333333"/>
          <w:spacing w:val="0"/>
          <w:sz w:val="32"/>
          <w:szCs w:val="32"/>
          <w:lang w:val="en-US" w:eastAsia="zh-CN"/>
        </w:rPr>
      </w:pPr>
      <w:r>
        <w:rPr>
          <w:rFonts w:hint="eastAsia" w:ascii="宋体" w:hAnsi="宋体" w:eastAsia="宋体" w:cs="宋体"/>
          <w:b/>
          <w:i w:val="0"/>
          <w:caps w:val="0"/>
          <w:color w:val="333333"/>
          <w:spacing w:val="0"/>
          <w:sz w:val="32"/>
          <w:szCs w:val="32"/>
          <w:shd w:val="clear" w:color="auto" w:fill="FFFFFF"/>
          <w:lang w:val="en-US" w:eastAsia="zh-CN"/>
        </w:rPr>
        <w:t>六、</w:t>
      </w:r>
      <w:r>
        <w:rPr>
          <w:rFonts w:hint="eastAsia" w:ascii="宋体" w:hAnsi="宋体" w:eastAsia="宋体" w:cs="宋体"/>
          <w:b/>
          <w:i w:val="0"/>
          <w:caps w:val="0"/>
          <w:color w:val="333333"/>
          <w:spacing w:val="0"/>
          <w:sz w:val="32"/>
          <w:szCs w:val="32"/>
          <w:shd w:val="clear" w:color="auto" w:fill="FFFFFF"/>
        </w:rPr>
        <w:t>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宋体" w:hAnsi="宋体" w:eastAsia="宋体" w:cs="宋体"/>
          <w:i w:val="0"/>
          <w:caps w:val="0"/>
          <w:color w:val="333333"/>
          <w:spacing w:val="0"/>
          <w:sz w:val="32"/>
          <w:szCs w:val="32"/>
          <w:lang w:val="en-US" w:eastAsia="zh-CN"/>
        </w:rPr>
      </w:pPr>
      <w:r>
        <w:rPr>
          <w:rFonts w:hint="eastAsia" w:cs="宋体"/>
          <w:i w:val="0"/>
          <w:caps w:val="0"/>
          <w:color w:val="333333"/>
          <w:spacing w:val="0"/>
          <w:sz w:val="32"/>
          <w:szCs w:val="32"/>
          <w:lang w:val="en-US" w:eastAsia="zh-CN"/>
        </w:rPr>
        <w:t>无</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b/>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kern w:val="2"/>
          <w:sz w:val="32"/>
          <w:szCs w:val="32"/>
          <w:lang w:val="en-US"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240" w:lineRule="auto"/>
        <w:ind w:right="0" w:rightChars="0"/>
        <w:jc w:val="both"/>
        <w:textAlignment w:val="auto"/>
        <w:rPr>
          <w:rFonts w:hint="eastAsia" w:ascii="宋体" w:hAnsi="宋体" w:eastAsia="宋体" w:cs="宋体"/>
          <w:b/>
          <w:i w:val="0"/>
          <w:caps w:val="0"/>
          <w:color w:val="333333"/>
          <w:spacing w:val="0"/>
          <w:sz w:val="32"/>
          <w:szCs w:val="32"/>
          <w:shd w:val="clear" w:color="auto" w:fill="FFFFFF"/>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E4D32"/>
    <w:multiLevelType w:val="singleLevel"/>
    <w:tmpl w:val="A54E4D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B4AAF"/>
    <w:rsid w:val="12C813A7"/>
    <w:rsid w:val="21C12C0B"/>
    <w:rsid w:val="5CFF3563"/>
    <w:rsid w:val="7308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800080"/>
      <w:u w:val="none"/>
    </w:rPr>
  </w:style>
  <w:style w:type="character" w:styleId="6">
    <w:name w:val="Emphasis"/>
    <w:basedOn w:val="4"/>
    <w:qFormat/>
    <w:uiPriority w:val="0"/>
  </w:style>
  <w:style w:type="character" w:styleId="7">
    <w:name w:val="Hyperlink"/>
    <w:basedOn w:val="4"/>
    <w:qFormat/>
    <w:uiPriority w:val="0"/>
    <w:rPr>
      <w:color w:val="0000FF"/>
      <w:u w:val="none"/>
    </w:rPr>
  </w:style>
  <w:style w:type="character" w:customStyle="1" w:styleId="8">
    <w:name w:val="on2"/>
    <w:basedOn w:val="4"/>
    <w:uiPriority w:val="0"/>
    <w:rPr>
      <w:color w:val="0091E4"/>
      <w:shd w:val="clear" w:fill="FFFFFF"/>
    </w:rPr>
  </w:style>
  <w:style w:type="character" w:customStyle="1" w:styleId="9">
    <w:name w:val="on3"/>
    <w:basedOn w:val="4"/>
    <w:uiPriority w:val="0"/>
    <w:rPr>
      <w:color w:val="0091E4"/>
      <w:shd w:val="clear" w:fill="FFFFFF"/>
    </w:rPr>
  </w:style>
  <w:style w:type="character" w:customStyle="1" w:styleId="10">
    <w:name w:val="on4"/>
    <w:basedOn w:val="4"/>
    <w:uiPriority w:val="0"/>
    <w:rPr>
      <w:color w:val="0091E4"/>
      <w:shd w:val="clear" w:fill="FFFFFF"/>
    </w:rPr>
  </w:style>
  <w:style w:type="character" w:customStyle="1" w:styleId="11">
    <w:name w:val="on5"/>
    <w:basedOn w:val="4"/>
    <w:uiPriority w:val="0"/>
    <w:rPr>
      <w:color w:val="FFFFFF"/>
      <w:shd w:val="clear" w:fill="0C96E5"/>
    </w:rPr>
  </w:style>
  <w:style w:type="character" w:customStyle="1" w:styleId="12">
    <w:name w:val="on6"/>
    <w:basedOn w:val="4"/>
    <w:uiPriority w:val="0"/>
  </w:style>
  <w:style w:type="character" w:customStyle="1" w:styleId="13">
    <w:name w:val="l2"/>
    <w:basedOn w:val="4"/>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2019-12-18T06:06:00Z</dcterms:created>
  <dc:creator>Administrator</dc:creator>
  <cp:lastModifiedBy>赵琦</cp:lastModifiedBy>
  <cp:lastPrinted>2019-12-18T06:58:00Z</cp:lastPrinted>
  <dcterms:modified xsi:type="dcterms:W3CDTF">2020-02-18T05:17:30Z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