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0"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经济技术开发区玉姐海鲜店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销售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20"/>
          <w:sz w:val="44"/>
          <w:szCs w:val="44"/>
        </w:rPr>
        <w:t>不合格食品核查处置情况的通告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现将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经济技术开发区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玉姐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海鲜店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销售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不合格食品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虾爬子（海水虾）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的核查处置情况通告如下：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（一）抽检基本情况。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经济技术开发区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玉姐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海鲜店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销售的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虾爬子（海水虾），经检验，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镉(以Cd计）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（二）经营环节处置情况。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1.风险控制情况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长春市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市场监督管理局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经济技术开发区分局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于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经济技术开发区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玉姐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海鲜店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实施现场检查。查明该食品经营主体购进不合格食品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虾爬子（海水虾）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7.5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，货值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已全部零售完毕。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长春市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市场监督管理局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经济技术开发区分局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责令该食品经营主体立即启动召回程序。属地市场监督管理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将持续加强监管，防控类似食品安全风险隐患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2.行政处罚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长春市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市场监督管理局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经济技术开发区分局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于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日对该案进行立案查处。经调查，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经济技术开发区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玉姐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海鲜店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违反了《中华人民共和国食品安全法》第三十四条第（二）项，依据《中华人民共和国食品安全法》第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一百三十六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条之规定，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长春市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市场监督管理局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经济技术开发区分局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于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日对其行政处罚如下：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免于处罚。原因如下：依照《中华人民共和国食品安全法》第五十三条规定，当事人履行了进货查验义务，如实记录食品的名称，规格，数量，生产日期或生产批号、保质期、进货日期以及供货者名称、地址、联系方式等内容，并保存相关凭证。当事人也能如实说明其进货来源，提供证据证明不知道所采购的食品为不符合食品安全标准的食品，根据《中华人民共和国食品安全法》第一百三十六条规定免予处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3.排查整改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经排查，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经济技术开发区龙哥海鲜店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在购进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虾爬子（海水虾）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时履行了进货查验等义务。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长春市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市场监督管理局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经济技术开发区分局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责令该食品经营者对不合格批次的食品进行召回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。长春市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市场监督管理局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经济技术开发区分局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已于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日组织复查验收，该食品经营者已按监管要求整改完毕。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广大消费者如发现经营上述批次不合格食品等食品安全违法行为，可拨打消费者投诉举报电话 12315 进行反映。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长春市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市场监督管理局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经济技术开发区分局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IzMWE4YmQ4NWEwZDI3ODExMjQyMTlhODgxZWFiYTEifQ=="/>
  </w:docVars>
  <w:rsids>
    <w:rsidRoot w:val="00A14F89"/>
    <w:rsid w:val="00034A33"/>
    <w:rsid w:val="002E302A"/>
    <w:rsid w:val="003F07BA"/>
    <w:rsid w:val="00422CAF"/>
    <w:rsid w:val="005117D0"/>
    <w:rsid w:val="008824F6"/>
    <w:rsid w:val="00942967"/>
    <w:rsid w:val="00A14F89"/>
    <w:rsid w:val="00DF7C70"/>
    <w:rsid w:val="00EA58FA"/>
    <w:rsid w:val="00FC1261"/>
    <w:rsid w:val="02B70B4E"/>
    <w:rsid w:val="05092F04"/>
    <w:rsid w:val="06F80822"/>
    <w:rsid w:val="07302A71"/>
    <w:rsid w:val="07727166"/>
    <w:rsid w:val="0AE46F63"/>
    <w:rsid w:val="0B4A08D9"/>
    <w:rsid w:val="0D7A67F4"/>
    <w:rsid w:val="0DD450C0"/>
    <w:rsid w:val="10476FE2"/>
    <w:rsid w:val="10B06835"/>
    <w:rsid w:val="10CE0954"/>
    <w:rsid w:val="11BB3E11"/>
    <w:rsid w:val="125454FA"/>
    <w:rsid w:val="136C0C5F"/>
    <w:rsid w:val="138C54D3"/>
    <w:rsid w:val="142608C5"/>
    <w:rsid w:val="149E78ED"/>
    <w:rsid w:val="152F37B7"/>
    <w:rsid w:val="17D00A08"/>
    <w:rsid w:val="19182F09"/>
    <w:rsid w:val="1BD16179"/>
    <w:rsid w:val="1CCE783F"/>
    <w:rsid w:val="1DD32B49"/>
    <w:rsid w:val="1F3D407A"/>
    <w:rsid w:val="209929C4"/>
    <w:rsid w:val="23B41903"/>
    <w:rsid w:val="25610D4C"/>
    <w:rsid w:val="25C44E00"/>
    <w:rsid w:val="277C145F"/>
    <w:rsid w:val="287D79C1"/>
    <w:rsid w:val="28AD1996"/>
    <w:rsid w:val="2F9B08CA"/>
    <w:rsid w:val="2FDB716E"/>
    <w:rsid w:val="3081357D"/>
    <w:rsid w:val="308415B4"/>
    <w:rsid w:val="315D7641"/>
    <w:rsid w:val="3848736B"/>
    <w:rsid w:val="38614286"/>
    <w:rsid w:val="3A355DA8"/>
    <w:rsid w:val="3C17260E"/>
    <w:rsid w:val="3CB374B2"/>
    <w:rsid w:val="3CED1F7C"/>
    <w:rsid w:val="3D91169B"/>
    <w:rsid w:val="409B2ACE"/>
    <w:rsid w:val="43210D44"/>
    <w:rsid w:val="437D5252"/>
    <w:rsid w:val="481806CD"/>
    <w:rsid w:val="49AB5EBC"/>
    <w:rsid w:val="4C244830"/>
    <w:rsid w:val="53CC4555"/>
    <w:rsid w:val="54234BA5"/>
    <w:rsid w:val="54271DF6"/>
    <w:rsid w:val="5E3A527A"/>
    <w:rsid w:val="606049A2"/>
    <w:rsid w:val="617D4E19"/>
    <w:rsid w:val="626D6C4F"/>
    <w:rsid w:val="64393CBC"/>
    <w:rsid w:val="649F2A09"/>
    <w:rsid w:val="66FE5609"/>
    <w:rsid w:val="6BB640BE"/>
    <w:rsid w:val="6D4D13FE"/>
    <w:rsid w:val="6EE71735"/>
    <w:rsid w:val="6FE511A2"/>
    <w:rsid w:val="71896DE1"/>
    <w:rsid w:val="74A1210B"/>
    <w:rsid w:val="76E065E7"/>
    <w:rsid w:val="795153FA"/>
    <w:rsid w:val="7B705471"/>
    <w:rsid w:val="7B9D1C66"/>
    <w:rsid w:val="7D135F69"/>
    <w:rsid w:val="7EC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Calibri" w:hAnsi="Calibri"/>
      <w:b/>
      <w:kern w:val="44"/>
      <w:sz w:val="4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831</Words>
  <Characters>863</Characters>
  <Lines>11</Lines>
  <Paragraphs>3</Paragraphs>
  <TotalTime>8</TotalTime>
  <ScaleCrop>false</ScaleCrop>
  <LinksUpToDate>false</LinksUpToDate>
  <CharactersWithSpaces>913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2021-01-15T07:22:00Z</dcterms:created>
  <dc:creator>张倩</dc:creator>
  <cp:lastModifiedBy>暴走的君君</cp:lastModifiedBy>
  <dcterms:modified xsi:type="dcterms:W3CDTF">2022-08-15T05:57:54Z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704E974A525D4D5C8AB38C53FBE94C19</vt:lpwstr>
  </property>
</Properties>
</file>