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heme="majorEastAsia" w:hAnsiTheme="majorEastAsia" w:eastAsiaTheme="majorEastAsia"/>
          <w:sz w:val="44"/>
          <w:szCs w:val="44"/>
        </w:rPr>
      </w:pPr>
      <w:bookmarkStart w:id="0" w:name="_GoBack"/>
      <w:r>
        <w:rPr>
          <w:rFonts w:hint="eastAsia" w:asciiTheme="majorEastAsia" w:hAnsiTheme="majorEastAsia" w:eastAsiaTheme="majorEastAsia"/>
          <w:b/>
          <w:bCs/>
          <w:sz w:val="36"/>
          <w:szCs w:val="36"/>
        </w:rPr>
        <w:t>长春经济技术开发区涉企扶持政策兑现流程</w:t>
      </w:r>
    </w:p>
    <w:p>
      <w:pPr>
        <w:spacing w:line="640" w:lineRule="exact"/>
        <w:jc w:val="left"/>
        <w:rPr>
          <w:rFonts w:hint="eastAsia" w:ascii="仿宋_GB2312" w:hAnsi="华文中宋" w:eastAsia="仿宋_GB2312"/>
          <w:sz w:val="32"/>
          <w:szCs w:val="32"/>
        </w:rPr>
      </w:pPr>
    </w:p>
    <w:bookmarkEnd w:id="0"/>
    <w:p>
      <w:pPr>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为进一步明确涉企扶持政策审核兑现过程中各相关职能部门的职责，优化审核兑现流程，提升审核兑现效率，推动企业发展，结合我区实际，特制定本兑现流程。</w:t>
      </w:r>
    </w:p>
    <w:p>
      <w:pPr>
        <w:tabs>
          <w:tab w:val="left" w:pos="1429"/>
        </w:tabs>
        <w:spacing w:line="640" w:lineRule="exact"/>
        <w:ind w:firstLine="640" w:firstLineChars="200"/>
        <w:jc w:val="left"/>
        <w:rPr>
          <w:rFonts w:hint="eastAsia" w:ascii="黑体" w:hAnsi="黑体" w:eastAsia="黑体"/>
          <w:sz w:val="32"/>
          <w:szCs w:val="32"/>
        </w:rPr>
      </w:pPr>
      <w:r>
        <w:rPr>
          <w:rFonts w:hint="eastAsia" w:ascii="黑体" w:hAnsi="黑体" w:eastAsia="黑体"/>
          <w:sz w:val="32"/>
          <w:szCs w:val="32"/>
        </w:rPr>
        <w:t>一、适用范围</w:t>
      </w:r>
    </w:p>
    <w:p>
      <w:pPr>
        <w:spacing w:line="640" w:lineRule="exact"/>
        <w:ind w:firstLine="640" w:firstLineChars="200"/>
        <w:jc w:val="left"/>
        <w:rPr>
          <w:rFonts w:hint="eastAsia" w:ascii="仿宋_GB2312" w:hAnsi="华文中宋" w:eastAsia="仿宋_GB2312"/>
          <w:color w:val="333333"/>
          <w:sz w:val="32"/>
          <w:szCs w:val="32"/>
        </w:rPr>
      </w:pPr>
      <w:r>
        <w:rPr>
          <w:rFonts w:hint="eastAsia" w:ascii="仿宋_GB2312" w:hAnsi="华文中宋" w:eastAsia="仿宋_GB2312"/>
          <w:sz w:val="32"/>
          <w:szCs w:val="32"/>
        </w:rPr>
        <w:t>《长春经济技术开发区加快转型升级促进经济高质量发展若干政策措施》申报的组织、受理、审议和兑付工作</w:t>
      </w:r>
      <w:r>
        <w:rPr>
          <w:rFonts w:hint="eastAsia" w:ascii="仿宋_GB2312" w:hAnsi="华文中宋" w:eastAsia="仿宋_GB2312"/>
          <w:color w:val="333333"/>
          <w:sz w:val="32"/>
          <w:szCs w:val="32"/>
        </w:rPr>
        <w:t>。</w:t>
      </w:r>
    </w:p>
    <w:p>
      <w:pPr>
        <w:tabs>
          <w:tab w:val="left" w:pos="1429"/>
        </w:tabs>
        <w:spacing w:line="640" w:lineRule="exact"/>
        <w:ind w:firstLine="640" w:firstLineChars="200"/>
        <w:jc w:val="left"/>
        <w:rPr>
          <w:rFonts w:hint="eastAsia" w:ascii="黑体" w:hAnsi="黑体" w:eastAsia="黑体"/>
          <w:sz w:val="32"/>
          <w:szCs w:val="32"/>
        </w:rPr>
      </w:pPr>
      <w:r>
        <w:rPr>
          <w:rFonts w:hint="eastAsia" w:ascii="黑体" w:hAnsi="黑体" w:eastAsia="黑体"/>
          <w:sz w:val="32"/>
          <w:szCs w:val="32"/>
        </w:rPr>
        <w:t>二、审核兑现程序</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（一）通知申报</w:t>
      </w:r>
    </w:p>
    <w:p>
      <w:pPr>
        <w:widowControl/>
        <w:shd w:val="clear" w:color="auto" w:fill="FFFFFF"/>
        <w:spacing w:line="640" w:lineRule="exact"/>
        <w:ind w:firstLine="640" w:firstLineChars="200"/>
        <w:jc w:val="left"/>
        <w:rPr>
          <w:rFonts w:hint="eastAsia" w:ascii="仿宋_GB2312" w:hAnsi="华文中宋" w:eastAsia="仿宋_GB2312"/>
          <w:sz w:val="32"/>
          <w:szCs w:val="32"/>
          <w:highlight w:val="yellow"/>
        </w:rPr>
      </w:pPr>
      <w:r>
        <w:rPr>
          <w:rFonts w:hint="eastAsia" w:ascii="仿宋_GB2312" w:hAnsi="华文中宋" w:eastAsia="仿宋_GB2312"/>
          <w:sz w:val="32"/>
          <w:szCs w:val="32"/>
        </w:rPr>
        <w:t>需要以年度为单位集中兑现的政策，经开区以管委会的名义下发政策兑现通知文件，原则上每年4月开展集中兑现。其余政策企业即时上报。</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（二）部门受理</w:t>
      </w: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各部门按照职责分工组织企业申报，受理企业申报文件，确保要件齐全，并形成书面意见报送至初审部门。</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（三）部门初审</w:t>
      </w: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各部门按照职责分工，负责全面审核企业申报材料。根据需要协调审计部门完成专项审计，配合财政部门实施</w:t>
      </w:r>
      <w:r>
        <w:rPr>
          <w:rFonts w:hint="eastAsia" w:ascii="仿宋_GB2312" w:hAnsi="华文中宋" w:eastAsia="仿宋_GB2312" w:cs="Arial"/>
          <w:kern w:val="0"/>
          <w:sz w:val="32"/>
          <w:szCs w:val="32"/>
        </w:rPr>
        <w:t>申报企业属地纳税、税收缴纳情况审核，</w:t>
      </w:r>
      <w:r>
        <w:rPr>
          <w:rFonts w:hint="eastAsia" w:ascii="仿宋_GB2312" w:hAnsi="华文中宋" w:eastAsia="仿宋_GB2312"/>
          <w:sz w:val="32"/>
          <w:szCs w:val="32"/>
        </w:rPr>
        <w:t>出具审核结果和资金给付初审意见报送至统筹部门。</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（四）统筹审查</w:t>
      </w: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经济发展局作为全区政策兑现的统筹部门，收到相关部门出具的初审结果和资金给付意见后，进行复审并</w:t>
      </w:r>
      <w:r>
        <w:rPr>
          <w:rFonts w:hint="eastAsia" w:ascii="仿宋_GB2312" w:hAnsi="华文中宋" w:eastAsia="仿宋_GB2312" w:cs="Arial"/>
          <w:kern w:val="0"/>
          <w:sz w:val="32"/>
          <w:szCs w:val="32"/>
        </w:rPr>
        <w:t>组织</w:t>
      </w:r>
      <w:r>
        <w:rPr>
          <w:rFonts w:hint="eastAsia" w:ascii="仿宋_GB2312" w:hAnsi="华文中宋" w:eastAsia="仿宋_GB2312"/>
          <w:sz w:val="32"/>
          <w:szCs w:val="32"/>
        </w:rPr>
        <w:t>相关部门召开联席会议，对审核意见进行审议，并最终形成</w:t>
      </w:r>
      <w:r>
        <w:rPr>
          <w:rFonts w:hint="eastAsia" w:ascii="仿宋_GB2312" w:hAnsi="华文中宋" w:eastAsia="仿宋_GB2312"/>
          <w:color w:val="333333"/>
          <w:sz w:val="32"/>
          <w:szCs w:val="32"/>
        </w:rPr>
        <w:t>政策兑现联审意见。</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（五）主任办公会审议</w:t>
      </w:r>
    </w:p>
    <w:p>
      <w:pPr>
        <w:spacing w:line="640" w:lineRule="exact"/>
        <w:ind w:firstLine="640" w:firstLineChars="200"/>
        <w:jc w:val="left"/>
        <w:rPr>
          <w:rFonts w:hint="eastAsia" w:ascii="仿宋_GB2312" w:hAnsi="华文中宋" w:eastAsia="仿宋_GB2312"/>
          <w:color w:val="333333"/>
          <w:sz w:val="32"/>
          <w:szCs w:val="32"/>
        </w:rPr>
      </w:pPr>
      <w:r>
        <w:rPr>
          <w:rFonts w:hint="eastAsia" w:ascii="仿宋_GB2312" w:hAnsi="华文中宋" w:eastAsia="仿宋_GB2312"/>
          <w:sz w:val="32"/>
          <w:szCs w:val="32"/>
        </w:rPr>
        <w:t>统筹部门将联审意见提请</w:t>
      </w:r>
      <w:r>
        <w:rPr>
          <w:rFonts w:hint="eastAsia" w:ascii="仿宋_GB2312" w:hAnsi="华文中宋" w:eastAsia="仿宋_GB2312"/>
          <w:color w:val="333333"/>
          <w:sz w:val="32"/>
          <w:szCs w:val="32"/>
        </w:rPr>
        <w:t>主任办公会审议。</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（六）下达资金计划</w:t>
      </w:r>
    </w:p>
    <w:p>
      <w:pPr>
        <w:spacing w:line="640" w:lineRule="exact"/>
        <w:ind w:firstLine="640" w:firstLineChars="200"/>
        <w:jc w:val="left"/>
        <w:rPr>
          <w:rFonts w:hint="eastAsia" w:ascii="仿宋_GB2312" w:hAnsi="华文中宋" w:eastAsia="仿宋_GB2312"/>
          <w:color w:val="333333"/>
          <w:sz w:val="32"/>
          <w:szCs w:val="32"/>
        </w:rPr>
      </w:pPr>
      <w:r>
        <w:rPr>
          <w:rFonts w:hint="eastAsia" w:ascii="仿宋_GB2312" w:hAnsi="华文中宋" w:eastAsia="仿宋_GB2312"/>
          <w:color w:val="333333"/>
          <w:sz w:val="32"/>
          <w:szCs w:val="32"/>
        </w:rPr>
        <w:t>主任办公会审定通过后，统筹部门起草资金计划，并以管委会文件形式下达。</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（七）资金拨付</w:t>
      </w:r>
    </w:p>
    <w:p>
      <w:pPr>
        <w:spacing w:line="640" w:lineRule="exact"/>
        <w:ind w:firstLine="640" w:firstLineChars="200"/>
        <w:jc w:val="left"/>
        <w:rPr>
          <w:rFonts w:hint="eastAsia" w:ascii="仿宋_GB2312" w:hAnsi="华文中宋" w:eastAsia="仿宋_GB2312"/>
          <w:color w:val="333333"/>
          <w:sz w:val="32"/>
          <w:szCs w:val="32"/>
        </w:rPr>
      </w:pPr>
      <w:r>
        <w:rPr>
          <w:rFonts w:hint="eastAsia" w:ascii="仿宋_GB2312" w:hAnsi="华文中宋" w:eastAsia="仿宋_GB2312"/>
          <w:color w:val="333333"/>
          <w:sz w:val="32"/>
          <w:szCs w:val="32"/>
        </w:rPr>
        <w:t>财政部门依据管委会资金计划，按照资金拨付流程具体拨付到位。</w:t>
      </w:r>
    </w:p>
    <w:p>
      <w:pPr>
        <w:tabs>
          <w:tab w:val="left" w:pos="1429"/>
        </w:tabs>
        <w:spacing w:line="640" w:lineRule="exact"/>
        <w:ind w:firstLine="640" w:firstLineChars="200"/>
        <w:jc w:val="left"/>
        <w:rPr>
          <w:rFonts w:hint="eastAsia" w:ascii="黑体" w:hAnsi="黑体" w:eastAsia="黑体"/>
          <w:sz w:val="32"/>
          <w:szCs w:val="32"/>
        </w:rPr>
      </w:pPr>
      <w:r>
        <w:rPr>
          <w:rFonts w:hint="eastAsia" w:ascii="黑体" w:hAnsi="黑体" w:eastAsia="黑体"/>
          <w:sz w:val="32"/>
          <w:szCs w:val="32"/>
        </w:rPr>
        <w:t>三、各部门职责</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（一）政策兑现牵头部门</w:t>
      </w:r>
    </w:p>
    <w:p>
      <w:pPr>
        <w:spacing w:line="640" w:lineRule="exact"/>
        <w:ind w:firstLine="640" w:firstLineChars="200"/>
        <w:jc w:val="left"/>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经济发展局：统筹全区政策兑现工作。</w:t>
      </w:r>
    </w:p>
    <w:p>
      <w:pPr>
        <w:spacing w:line="640" w:lineRule="exact"/>
        <w:ind w:firstLine="640" w:firstLineChars="200"/>
        <w:jc w:val="left"/>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商务局：鼓励重大工业项目落位相关政策初审部门，明确申报材料要求，按需组织开展</w:t>
      </w:r>
      <w:r>
        <w:rPr>
          <w:rFonts w:hint="eastAsia" w:ascii="仿宋_GB2312" w:hAnsi="华文中宋" w:eastAsia="仿宋_GB2312"/>
          <w:sz w:val="32"/>
          <w:szCs w:val="32"/>
        </w:rPr>
        <w:t>专项审计，</w:t>
      </w:r>
      <w:r>
        <w:rPr>
          <w:rFonts w:hint="eastAsia" w:ascii="仿宋_GB2312" w:hAnsi="华文中宋" w:eastAsia="仿宋_GB2312" w:cs="Arial"/>
          <w:kern w:val="0"/>
          <w:sz w:val="32"/>
          <w:szCs w:val="32"/>
        </w:rPr>
        <w:t>对项目是否符合重大工业项目兑现政策，出具审核结果和资金给付初审意见。</w:t>
      </w:r>
    </w:p>
    <w:p>
      <w:pPr>
        <w:spacing w:line="640" w:lineRule="exact"/>
        <w:ind w:firstLine="640" w:firstLineChars="200"/>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三产发展办公室（项目服务三局）：服务业相关政策兑现的初审部门，负责制定相关政策兑现的实施细则，明确申报材料要求，按需组织开展</w:t>
      </w:r>
      <w:r>
        <w:rPr>
          <w:rFonts w:hint="eastAsia" w:ascii="仿宋_GB2312" w:hAnsi="华文中宋" w:eastAsia="仿宋_GB2312"/>
          <w:sz w:val="32"/>
          <w:szCs w:val="32"/>
        </w:rPr>
        <w:t>专项审计，</w:t>
      </w:r>
      <w:r>
        <w:rPr>
          <w:rFonts w:hint="eastAsia" w:ascii="仿宋_GB2312" w:hAnsi="华文中宋" w:eastAsia="仿宋_GB2312" w:cs="Arial"/>
          <w:kern w:val="0"/>
          <w:sz w:val="32"/>
          <w:szCs w:val="32"/>
        </w:rPr>
        <w:t>同时按照《</w:t>
      </w:r>
      <w:r>
        <w:rPr>
          <w:rFonts w:hint="eastAsia" w:ascii="仿宋_GB2312" w:hAnsi="华文中宋" w:eastAsia="仿宋_GB2312" w:cs="Arial"/>
          <w:bCs/>
          <w:kern w:val="0"/>
          <w:sz w:val="32"/>
          <w:szCs w:val="32"/>
        </w:rPr>
        <w:t>长春经济技术开发区加快转型升级促进经济高质量发展若干政策措施实施细则》任务分工直接受理企业申报材料</w:t>
      </w:r>
      <w:r>
        <w:rPr>
          <w:rFonts w:hint="eastAsia" w:ascii="仿宋_GB2312" w:hAnsi="华文中宋" w:eastAsia="仿宋_GB2312" w:cs="Arial"/>
          <w:kern w:val="0"/>
          <w:sz w:val="32"/>
          <w:szCs w:val="32"/>
        </w:rPr>
        <w:t>，出具审核结果和资金给付初审意见。</w:t>
      </w:r>
    </w:p>
    <w:p>
      <w:pPr>
        <w:spacing w:line="640" w:lineRule="exact"/>
        <w:ind w:firstLine="640" w:firstLineChars="200"/>
        <w:jc w:val="left"/>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各投资促进局：按照《</w:t>
      </w:r>
      <w:r>
        <w:rPr>
          <w:rFonts w:hint="eastAsia" w:ascii="仿宋_GB2312" w:hAnsi="华文中宋" w:eastAsia="仿宋_GB2312" w:cs="Arial"/>
          <w:bCs/>
          <w:kern w:val="0"/>
          <w:sz w:val="32"/>
          <w:szCs w:val="32"/>
        </w:rPr>
        <w:t>长春经济技术开发区加快转型升级促进经济高质量发展若干政策措施实施细则》</w:t>
      </w:r>
      <w:r>
        <w:rPr>
          <w:rFonts w:hint="eastAsia" w:ascii="仿宋_GB2312" w:hAnsi="华文中宋" w:eastAsia="仿宋_GB2312" w:cs="Arial"/>
          <w:kern w:val="0"/>
          <w:sz w:val="32"/>
          <w:szCs w:val="32"/>
        </w:rPr>
        <w:t>，</w:t>
      </w:r>
      <w:r>
        <w:rPr>
          <w:rFonts w:hint="eastAsia" w:ascii="仿宋_GB2312" w:hAnsi="华文中宋" w:eastAsia="仿宋_GB2312"/>
          <w:sz w:val="32"/>
          <w:szCs w:val="32"/>
        </w:rPr>
        <w:t>接收相关企业申请材料并进行受理审查，审核结果形成书面意见，报送至相关初审部门</w:t>
      </w:r>
      <w:r>
        <w:rPr>
          <w:rFonts w:hint="eastAsia" w:ascii="仿宋_GB2312" w:hAnsi="华文中宋" w:eastAsia="仿宋_GB2312" w:cs="Arial"/>
          <w:kern w:val="0"/>
          <w:sz w:val="32"/>
          <w:szCs w:val="32"/>
        </w:rPr>
        <w:t>。</w:t>
      </w:r>
    </w:p>
    <w:p>
      <w:pPr>
        <w:spacing w:line="640" w:lineRule="exact"/>
        <w:ind w:firstLine="640" w:firstLineChars="200"/>
        <w:jc w:val="left"/>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金融服务办公室：鼓励股权基金发挥产业支撑作用，企业上市奖励有关政策的初审部门，负责制定相关政策兑现的实施细则。按照《</w:t>
      </w:r>
      <w:r>
        <w:rPr>
          <w:rFonts w:hint="eastAsia" w:ascii="仿宋_GB2312" w:hAnsi="华文中宋" w:eastAsia="仿宋_GB2312" w:cs="Arial"/>
          <w:bCs/>
          <w:kern w:val="0"/>
          <w:sz w:val="32"/>
          <w:szCs w:val="32"/>
        </w:rPr>
        <w:t>长春经济技术开发区加快转型升级促进经济高质量发展若干政策措施实施细则》</w:t>
      </w:r>
      <w:r>
        <w:rPr>
          <w:rFonts w:hint="eastAsia" w:ascii="仿宋_GB2312" w:hAnsi="华文中宋" w:eastAsia="仿宋_GB2312" w:cs="Arial"/>
          <w:kern w:val="0"/>
          <w:sz w:val="32"/>
          <w:szCs w:val="32"/>
        </w:rPr>
        <w:t>，按需组织开展专项审计，</w:t>
      </w:r>
      <w:r>
        <w:rPr>
          <w:rFonts w:hint="eastAsia" w:ascii="仿宋_GB2312" w:hAnsi="华文中宋" w:eastAsia="仿宋_GB2312"/>
          <w:sz w:val="32"/>
          <w:szCs w:val="32"/>
        </w:rPr>
        <w:t>接收相关企业申请材料并进行受理审查，审核结果形成书面意见，报送至统筹部门</w:t>
      </w:r>
      <w:r>
        <w:rPr>
          <w:rFonts w:hint="eastAsia" w:ascii="仿宋_GB2312" w:hAnsi="华文中宋" w:eastAsia="仿宋_GB2312" w:cs="Arial"/>
          <w:kern w:val="0"/>
          <w:sz w:val="32"/>
          <w:szCs w:val="32"/>
        </w:rPr>
        <w:t>。</w:t>
      </w:r>
    </w:p>
    <w:p>
      <w:pPr>
        <w:spacing w:line="640" w:lineRule="exact"/>
        <w:ind w:firstLine="640" w:firstLineChars="200"/>
        <w:jc w:val="left"/>
        <w:rPr>
          <w:rFonts w:hint="eastAsia" w:ascii="仿宋_GB2312" w:hAnsi="华文中宋" w:eastAsia="仿宋_GB2312" w:cs="Arial"/>
          <w:bCs/>
          <w:kern w:val="0"/>
          <w:sz w:val="32"/>
          <w:szCs w:val="32"/>
        </w:rPr>
      </w:pPr>
      <w:r>
        <w:rPr>
          <w:rFonts w:hint="eastAsia" w:ascii="仿宋_GB2312" w:hAnsi="华文中宋" w:eastAsia="仿宋_GB2312" w:cs="Arial"/>
          <w:kern w:val="0"/>
          <w:sz w:val="32"/>
          <w:szCs w:val="32"/>
        </w:rPr>
        <w:t>项目服务一局、项目服务二局：按照《</w:t>
      </w:r>
      <w:r>
        <w:rPr>
          <w:rFonts w:hint="eastAsia" w:ascii="仿宋_GB2312" w:hAnsi="华文中宋" w:eastAsia="仿宋_GB2312" w:cs="Arial"/>
          <w:bCs/>
          <w:kern w:val="0"/>
          <w:sz w:val="32"/>
          <w:szCs w:val="32"/>
        </w:rPr>
        <w:t>长春经济技术开发区加快转型升级促进经济高质量发展若干政策措施实施细则》分工受理企业申报材料，履行部门初审职责，</w:t>
      </w:r>
      <w:r>
        <w:rPr>
          <w:rFonts w:hint="eastAsia" w:ascii="仿宋_GB2312" w:hAnsi="华文中宋" w:eastAsia="仿宋_GB2312"/>
          <w:sz w:val="32"/>
          <w:szCs w:val="32"/>
        </w:rPr>
        <w:t>落实专项审计，牵头实施</w:t>
      </w:r>
      <w:r>
        <w:rPr>
          <w:rFonts w:hint="eastAsia" w:ascii="仿宋_GB2312" w:hAnsi="华文中宋" w:eastAsia="仿宋_GB2312" w:cs="Arial"/>
          <w:kern w:val="0"/>
          <w:sz w:val="32"/>
          <w:szCs w:val="32"/>
        </w:rPr>
        <w:t>申报企业属地纳税、税收缴纳情况审核，并出具审核结果和资金给付初审意见。</w:t>
      </w:r>
    </w:p>
    <w:p>
      <w:pPr>
        <w:spacing w:line="640" w:lineRule="exact"/>
        <w:ind w:firstLine="640" w:firstLineChars="200"/>
        <w:jc w:val="left"/>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财政局：负责审核申报企业属地纳税、税收缴纳情况及增值税纳税申报表的真实性、有效性；按流程拨付涉企扶持资金。</w:t>
      </w:r>
    </w:p>
    <w:p>
      <w:pPr>
        <w:spacing w:line="640" w:lineRule="exact"/>
        <w:ind w:firstLine="640" w:firstLineChars="200"/>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市场监督管理局经开分局:按照《长春经济技术开发区加快转型升级促进经济高质量发展若干政策措施实施细则》分工受理企业申报材料，负责对国内发明专利条款履行初审部门职责。</w:t>
      </w:r>
    </w:p>
    <w:p>
      <w:pPr>
        <w:widowControl/>
        <w:shd w:val="clear" w:color="auto" w:fill="FFFFFF"/>
        <w:spacing w:line="640" w:lineRule="exact"/>
        <w:ind w:firstLine="640" w:firstLineChars="200"/>
        <w:jc w:val="left"/>
        <w:rPr>
          <w:rFonts w:hint="eastAsia" w:ascii="楷体" w:hAnsi="楷体" w:eastAsia="楷体"/>
          <w:sz w:val="32"/>
          <w:szCs w:val="32"/>
        </w:rPr>
      </w:pPr>
      <w:r>
        <w:rPr>
          <w:rFonts w:hint="eastAsia" w:ascii="楷体" w:hAnsi="楷体" w:eastAsia="楷体"/>
          <w:sz w:val="32"/>
          <w:szCs w:val="32"/>
        </w:rPr>
        <w:t>（二）其它职能部门</w:t>
      </w:r>
    </w:p>
    <w:p>
      <w:pPr>
        <w:spacing w:line="640" w:lineRule="exact"/>
        <w:ind w:firstLine="640" w:firstLineChars="200"/>
        <w:jc w:val="left"/>
        <w:rPr>
          <w:rFonts w:hint="eastAsia" w:ascii="仿宋_GB2312" w:hAnsi="华文中宋" w:eastAsia="仿宋_GB2312" w:cs="Arial"/>
          <w:kern w:val="0"/>
          <w:sz w:val="32"/>
          <w:szCs w:val="32"/>
          <w:highlight w:val="yellow"/>
        </w:rPr>
      </w:pPr>
      <w:r>
        <w:rPr>
          <w:rFonts w:hint="eastAsia" w:ascii="仿宋_GB2312" w:hAnsi="华文中宋" w:eastAsia="仿宋_GB2312" w:cs="Arial"/>
          <w:kern w:val="0"/>
          <w:sz w:val="32"/>
          <w:szCs w:val="32"/>
        </w:rPr>
        <w:t>区生态环境分局：环保“一票否决”审查。</w:t>
      </w:r>
    </w:p>
    <w:p>
      <w:pPr>
        <w:spacing w:line="640" w:lineRule="exact"/>
        <w:ind w:firstLine="640" w:firstLineChars="200"/>
        <w:jc w:val="left"/>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区审计局：从审计角度对资金给付合规性及资金使用规范性进行审核，对初审部门专项审计过程进行监督。</w:t>
      </w:r>
    </w:p>
    <w:p>
      <w:pPr>
        <w:widowControl/>
        <w:shd w:val="clear" w:color="auto" w:fill="FFFFFF"/>
        <w:spacing w:line="640" w:lineRule="exact"/>
        <w:ind w:firstLine="643" w:firstLineChars="200"/>
        <w:jc w:val="left"/>
        <w:rPr>
          <w:rFonts w:hint="eastAsia" w:ascii="仿宋_GB2312" w:hAnsi="华文中宋" w:eastAsia="仿宋_GB2312"/>
          <w:b/>
          <w:sz w:val="32"/>
          <w:szCs w:val="32"/>
          <w:highlight w:val="yellow"/>
        </w:rPr>
      </w:pPr>
      <w:r>
        <w:rPr>
          <w:rFonts w:hint="eastAsia" w:ascii="仿宋_GB2312" w:hAnsi="华文中宋" w:eastAsia="仿宋_GB2312"/>
          <w:b/>
          <w:sz w:val="32"/>
          <w:szCs w:val="32"/>
        </w:rPr>
        <w:t>（三）法律顾问</w:t>
      </w:r>
    </w:p>
    <w:p>
      <w:pPr>
        <w:spacing w:line="640" w:lineRule="exact"/>
        <w:ind w:firstLine="640" w:firstLineChars="200"/>
        <w:jc w:val="left"/>
        <w:rPr>
          <w:rFonts w:hint="eastAsia" w:ascii="仿宋_GB2312" w:hAnsi="华文中宋" w:eastAsia="仿宋_GB2312" w:cs="Arial"/>
          <w:kern w:val="0"/>
          <w:sz w:val="32"/>
          <w:szCs w:val="32"/>
        </w:rPr>
      </w:pPr>
      <w:r>
        <w:rPr>
          <w:rFonts w:hint="eastAsia" w:ascii="仿宋_GB2312" w:hAnsi="华文中宋" w:eastAsia="仿宋_GB2312" w:cs="Arial"/>
          <w:kern w:val="0"/>
          <w:sz w:val="32"/>
          <w:szCs w:val="32"/>
        </w:rPr>
        <w:t>从法律角度对资金给付合法性进行审核。</w:t>
      </w:r>
    </w:p>
    <w:p>
      <w:pPr>
        <w:spacing w:line="640" w:lineRule="exact"/>
        <w:ind w:firstLine="640" w:firstLineChars="200"/>
        <w:jc w:val="left"/>
        <w:rPr>
          <w:rFonts w:hint="eastAsia" w:ascii="仿宋_GB2312" w:hAnsi="华文中宋" w:eastAsia="仿宋_GB2312" w:cs="Arial"/>
          <w:kern w:val="0"/>
          <w:sz w:val="32"/>
          <w:szCs w:val="32"/>
        </w:rPr>
      </w:pPr>
    </w:p>
    <w:p>
      <w:pPr>
        <w:spacing w:line="640" w:lineRule="exact"/>
        <w:ind w:firstLine="640" w:firstLineChars="200"/>
        <w:jc w:val="left"/>
        <w:rPr>
          <w:rFonts w:hint="eastAsia" w:ascii="仿宋_GB2312" w:hAnsi="华文中宋" w:eastAsia="仿宋_GB2312" w:cs="Arial"/>
          <w:kern w:val="0"/>
          <w:sz w:val="32"/>
          <w:szCs w:val="32"/>
        </w:rPr>
      </w:pPr>
    </w:p>
    <w:p>
      <w:pPr>
        <w:widowControl/>
        <w:shd w:val="clear" w:color="auto" w:fill="FFFFFF"/>
        <w:spacing w:line="640" w:lineRule="exact"/>
        <w:jc w:val="left"/>
        <w:rPr>
          <w:rFonts w:hint="eastAsia" w:ascii="仿宋_GB2312" w:hAnsi="华文中宋" w:eastAsia="仿宋_GB2312"/>
          <w:sz w:val="32"/>
          <w:szCs w:val="32"/>
        </w:rPr>
        <w:sectPr>
          <w:footerReference r:id="rId3" w:type="default"/>
          <w:footerReference r:id="rId4" w:type="even"/>
          <w:pgSz w:w="11906" w:h="16838"/>
          <w:pgMar w:top="1684" w:right="1276" w:bottom="1684" w:left="1276" w:header="851" w:footer="1021" w:gutter="0"/>
          <w:cols w:space="720" w:num="1"/>
          <w:docGrid w:type="lines" w:linePitch="312" w:charSpace="0"/>
        </w:sectPr>
      </w:pPr>
    </w:p>
    <w:p>
      <w:pPr>
        <w:widowControl/>
        <w:shd w:val="clear" w:color="auto" w:fill="FFFFFF"/>
        <w:spacing w:line="640" w:lineRule="exact"/>
        <w:jc w:val="center"/>
        <w:rPr>
          <w:rFonts w:hint="eastAsia" w:ascii="仿宋_GB2312" w:hAnsi="华文中宋" w:eastAsia="仿宋_GB2312"/>
          <w:b/>
          <w:color w:val="000000"/>
          <w:sz w:val="32"/>
          <w:szCs w:val="32"/>
        </w:rPr>
      </w:pPr>
    </w:p>
    <w:p>
      <w:pPr>
        <w:widowControl/>
        <w:shd w:val="clear" w:color="auto" w:fill="FFFFFF"/>
        <w:spacing w:line="640" w:lineRule="exact"/>
        <w:jc w:val="center"/>
        <w:rPr>
          <w:rFonts w:hint="eastAsia" w:ascii="仿宋_GB2312" w:hAnsi="华文中宋" w:eastAsia="仿宋_GB2312"/>
          <w:b/>
          <w:color w:val="000000"/>
          <w:sz w:val="32"/>
          <w:szCs w:val="32"/>
        </w:rPr>
      </w:pPr>
      <w:r>
        <w:rPr>
          <w:rFonts w:hint="eastAsia" w:ascii="仿宋_GB2312" w:hAnsi="华文中宋" w:eastAsia="仿宋_GB2312"/>
          <w:b/>
          <w:color w:val="000000"/>
          <w:sz w:val="32"/>
          <w:szCs w:val="32"/>
        </w:rPr>
        <w:t>初审意见</w:t>
      </w:r>
    </w:p>
    <w:p>
      <w:pPr>
        <w:widowControl/>
        <w:shd w:val="clear" w:color="auto" w:fill="FFFFFF"/>
        <w:spacing w:line="640" w:lineRule="exact"/>
        <w:ind w:firstLine="640" w:firstLineChars="200"/>
        <w:jc w:val="left"/>
        <w:rPr>
          <w:rFonts w:hint="eastAsia" w:ascii="仿宋_GB2312" w:hAnsi="华文中宋" w:eastAsia="仿宋_GB2312"/>
          <w:sz w:val="32"/>
          <w:szCs w:val="32"/>
        </w:rPr>
      </w:pP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经我局审核认定，____企业提交的资金申请材料完整、真实可信，符合《长春经济技术开发区加快转型升级促进经济高质量发展若干政策措施》第______条的兑付条件，建议按此政策条款给予该企业专项扶持资金______万元。</w:t>
      </w:r>
    </w:p>
    <w:p>
      <w:pPr>
        <w:widowControl/>
        <w:shd w:val="clear" w:color="auto" w:fill="FFFFFF"/>
        <w:spacing w:line="640" w:lineRule="exact"/>
        <w:ind w:firstLine="640" w:firstLineChars="200"/>
        <w:jc w:val="left"/>
        <w:rPr>
          <w:rFonts w:hint="eastAsia" w:ascii="仿宋_GB2312" w:hAnsi="华文中宋" w:eastAsia="仿宋_GB2312"/>
          <w:sz w:val="32"/>
          <w:szCs w:val="32"/>
        </w:rPr>
      </w:pPr>
    </w:p>
    <w:p>
      <w:pPr>
        <w:widowControl/>
        <w:shd w:val="clear" w:color="auto" w:fill="FFFFFF"/>
        <w:spacing w:line="640" w:lineRule="exact"/>
        <w:ind w:firstLine="640" w:firstLineChars="200"/>
        <w:jc w:val="left"/>
        <w:rPr>
          <w:rFonts w:hint="eastAsia" w:ascii="仿宋_GB2312" w:hAnsi="华文中宋" w:eastAsia="仿宋_GB2312"/>
          <w:sz w:val="32"/>
          <w:szCs w:val="32"/>
        </w:rPr>
      </w:pP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 xml:space="preserve">                        审核人（签字）：</w:t>
      </w: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 xml:space="preserve">                审核部门负责人（签字）：</w:t>
      </w: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 xml:space="preserve">                      审核部门（盖章）：</w:t>
      </w:r>
    </w:p>
    <w:p>
      <w:pPr>
        <w:widowControl/>
        <w:shd w:val="clear" w:color="auto" w:fill="FFFFFF"/>
        <w:spacing w:line="64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 xml:space="preserve">                               年   月   日</w:t>
      </w:r>
    </w:p>
    <w:p>
      <w:pPr>
        <w:widowControl/>
        <w:shd w:val="clear" w:color="auto" w:fill="FFFFFF"/>
        <w:spacing w:line="640" w:lineRule="exact"/>
        <w:ind w:firstLine="640" w:firstLineChars="200"/>
        <w:jc w:val="left"/>
        <w:rPr>
          <w:rFonts w:hint="eastAsia" w:ascii="仿宋_GB2312" w:hAnsi="华文中宋" w:eastAsia="仿宋_GB2312"/>
          <w:color w:val="000000"/>
          <w:sz w:val="32"/>
          <w:szCs w:val="32"/>
        </w:rPr>
      </w:pPr>
    </w:p>
    <w:p>
      <w:pPr>
        <w:spacing w:line="640" w:lineRule="exact"/>
        <w:ind w:firstLine="640" w:firstLineChars="200"/>
        <w:rPr>
          <w:rFonts w:hint="eastAsia" w:ascii="仿宋_GB2312" w:hAnsi="华文中宋" w:eastAsia="仿宋_GB2312" w:cs="楷体_GB2312"/>
          <w:sz w:val="32"/>
          <w:szCs w:val="32"/>
        </w:rPr>
      </w:pPr>
    </w:p>
    <w:p>
      <w:pPr>
        <w:spacing w:line="640" w:lineRule="exact"/>
        <w:rPr>
          <w:rFonts w:hint="eastAsia" w:ascii="仿宋_GB2312" w:hAnsi="华文中宋" w:eastAsia="仿宋_GB2312"/>
          <w:sz w:val="32"/>
          <w:szCs w:val="32"/>
        </w:rPr>
      </w:pPr>
    </w:p>
    <w:sectPr>
      <w:pgSz w:w="11906" w:h="16838"/>
      <w:pgMar w:top="1684" w:right="1276" w:bottom="1684"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mlcrEzgEAAJYDAAAOAAAAAAAAAAEAIAAAAB8BAABkcnMv&#10;ZTJvRG9jLnhtbFBLBQYAAAAABgAGAFkBAABf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C1eFSZzgEAAJYDAAAOAAAAAAAAAAEAIAAAAB8BAABkcnMv&#10;ZTJvRG9jLnhtbFBLBQYAAAAABgAGAFkBAABf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89"/>
    <w:rsid w:val="00097CC4"/>
    <w:rsid w:val="00126BB2"/>
    <w:rsid w:val="00127F38"/>
    <w:rsid w:val="00243458"/>
    <w:rsid w:val="002721D5"/>
    <w:rsid w:val="00385D2E"/>
    <w:rsid w:val="003B1085"/>
    <w:rsid w:val="004B0BA7"/>
    <w:rsid w:val="0071597D"/>
    <w:rsid w:val="007C2389"/>
    <w:rsid w:val="00831DB7"/>
    <w:rsid w:val="00957162"/>
    <w:rsid w:val="009E1EF2"/>
    <w:rsid w:val="00A32EC6"/>
    <w:rsid w:val="00A62287"/>
    <w:rsid w:val="00C76497"/>
    <w:rsid w:val="00D14F91"/>
    <w:rsid w:val="00DA2176"/>
    <w:rsid w:val="00E64019"/>
    <w:rsid w:val="00F84F6F"/>
    <w:rsid w:val="00FD76F9"/>
    <w:rsid w:val="00FE250C"/>
    <w:rsid w:val="202F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8"/>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uiPriority w:val="99"/>
    <w:rPr>
      <w:rFonts w:ascii="Calibri" w:hAnsi="Calibri" w:eastAsia="宋体" w:cs="Times New Roman"/>
      <w:szCs w:val="24"/>
    </w:rPr>
  </w:style>
  <w:style w:type="character" w:customStyle="1" w:styleId="8">
    <w:name w:val="页脚 Char"/>
    <w:basedOn w:val="6"/>
    <w:link w:val="3"/>
    <w:uiPriority w:val="0"/>
    <w:rPr>
      <w:rFonts w:ascii="Times New Roman" w:hAnsi="Times New Roman" w:eastAsia="宋体" w:cs="Times New Roman"/>
      <w:sz w:val="18"/>
      <w:szCs w:val="18"/>
    </w:rPr>
  </w:style>
  <w:style w:type="character" w:customStyle="1" w:styleId="9">
    <w:name w:val="页眉 Char"/>
    <w:basedOn w:val="6"/>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1067</Words>
  <Characters>6086</Characters>
  <Lines>50</Lines>
  <Paragraphs>14</Paragraphs>
  <TotalTime>40</TotalTime>
  <ScaleCrop>false</ScaleCrop>
  <LinksUpToDate>false</LinksUpToDate>
  <CharactersWithSpaces>7139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2019-04-02T07:03:00Z</dcterms:created>
  <dc:creator>xb21cn</dc:creator>
  <cp:lastModifiedBy>＾＾</cp:lastModifiedBy>
  <dcterms:modified xsi:type="dcterms:W3CDTF">2020-11-28T11:17:39Z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