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A8B62">
      <w:pPr>
        <w:ind w:firstLine="0" w:firstLineChars="0"/>
        <w:jc w:val="center"/>
        <w:rPr>
          <w:rFonts w:ascii="Times New Roman" w:hAnsi="Times New Roman" w:eastAsia="宋体"/>
          <w:b/>
          <w:bCs/>
          <w:smallCaps w:val="0"/>
          <w:color w:val="000000" w:themeColor="text1"/>
          <w:sz w:val="52"/>
          <w:szCs w:val="52"/>
          <w:highlight w:val="none"/>
          <w14:textFill>
            <w14:solidFill>
              <w14:schemeClr w14:val="tx1"/>
            </w14:solidFill>
          </w14:textFill>
        </w:rPr>
      </w:pPr>
      <w:bookmarkStart w:id="0" w:name="_Toc24560"/>
      <w:bookmarkStart w:id="1" w:name="_Toc2122697997"/>
      <w:r>
        <w:rPr>
          <w:rFonts w:hint="eastAsia" w:ascii="Times New Roman" w:hAnsi="Times New Roman" w:eastAsia="宋体"/>
          <w:b/>
          <w:bCs/>
          <w:smallCaps w:val="0"/>
          <w:color w:val="000000" w:themeColor="text1"/>
          <w:sz w:val="52"/>
          <w:szCs w:val="52"/>
          <w:highlight w:val="none"/>
          <w14:textFill>
            <w14:solidFill>
              <w14:schemeClr w14:val="tx1"/>
            </w14:solidFill>
          </w14:textFill>
        </w:rPr>
        <w:t xml:space="preserve"> </w:t>
      </w:r>
    </w:p>
    <w:p w14:paraId="289EDF3D">
      <w:pPr>
        <w:ind w:firstLine="0" w:firstLineChars="0"/>
        <w:jc w:val="center"/>
        <w:rPr>
          <w:rFonts w:ascii="Times New Roman" w:hAnsi="Times New Roman" w:eastAsia="宋体"/>
          <w:b/>
          <w:bCs/>
          <w:smallCaps w:val="0"/>
          <w:color w:val="000000" w:themeColor="text1"/>
          <w:sz w:val="52"/>
          <w:szCs w:val="52"/>
          <w:highlight w:val="none"/>
          <w14:textFill>
            <w14:solidFill>
              <w14:schemeClr w14:val="tx1"/>
            </w14:solidFill>
          </w14:textFill>
        </w:rPr>
      </w:pPr>
    </w:p>
    <w:p w14:paraId="634DA970">
      <w:pPr>
        <w:ind w:firstLine="0" w:firstLineChars="0"/>
        <w:jc w:val="center"/>
        <w:rPr>
          <w:rFonts w:ascii="Times New Roman" w:hAnsi="Times New Roman" w:eastAsia="宋体"/>
          <w:b/>
          <w:bCs/>
          <w:smallCaps w:val="0"/>
          <w:color w:val="000000" w:themeColor="text1"/>
          <w:sz w:val="52"/>
          <w:szCs w:val="52"/>
          <w:highlight w:val="none"/>
          <w14:textFill>
            <w14:solidFill>
              <w14:schemeClr w14:val="tx1"/>
            </w14:solidFill>
          </w14:textFill>
        </w:rPr>
      </w:pPr>
    </w:p>
    <w:p w14:paraId="1D9D9EEA">
      <w:pPr>
        <w:ind w:firstLine="0" w:firstLineChars="0"/>
        <w:jc w:val="center"/>
        <w:rPr>
          <w:rFonts w:ascii="Times New Roman" w:hAnsi="Times New Roman" w:eastAsia="宋体"/>
          <w:b/>
          <w:bCs/>
          <w:smallCaps w:val="0"/>
          <w:color w:val="000000" w:themeColor="text1"/>
          <w:sz w:val="52"/>
          <w:szCs w:val="52"/>
          <w:highlight w:val="none"/>
          <w14:textFill>
            <w14:solidFill>
              <w14:schemeClr w14:val="tx1"/>
            </w14:solidFill>
          </w14:textFill>
        </w:rPr>
      </w:pPr>
    </w:p>
    <w:p w14:paraId="02F274B8">
      <w:pPr>
        <w:ind w:firstLine="0" w:firstLineChars="0"/>
        <w:jc w:val="center"/>
        <w:rPr>
          <w:rFonts w:ascii="Times New Roman" w:hAnsi="Times New Roman" w:eastAsia="宋体"/>
          <w:b/>
          <w:bCs/>
          <w:smallCaps w:val="0"/>
          <w:color w:val="000000" w:themeColor="text1"/>
          <w:sz w:val="52"/>
          <w:szCs w:val="52"/>
          <w:highlight w:val="none"/>
          <w14:textFill>
            <w14:solidFill>
              <w14:schemeClr w14:val="tx1"/>
            </w14:solidFill>
          </w14:textFill>
        </w:rPr>
      </w:pPr>
    </w:p>
    <w:p w14:paraId="088D6D22">
      <w:pPr>
        <w:ind w:firstLine="0" w:firstLineChars="0"/>
        <w:jc w:val="center"/>
        <w:rPr>
          <w:rFonts w:hint="eastAsia" w:ascii="Times New Roman" w:hAnsi="Times New Roman" w:eastAsia="方正小标宋简体" w:cs="方正小标宋简体"/>
          <w:smallCaps w:val="0"/>
          <w:color w:val="000000" w:themeColor="text1"/>
          <w:sz w:val="52"/>
          <w:szCs w:val="52"/>
          <w:highlight w:val="none"/>
          <w14:textFill>
            <w14:solidFill>
              <w14:schemeClr w14:val="tx1"/>
            </w14:solidFill>
          </w14:textFill>
        </w:rPr>
      </w:pPr>
      <w:r>
        <w:rPr>
          <w:rFonts w:hint="eastAsia" w:ascii="Times New Roman" w:hAnsi="Times New Roman" w:eastAsia="方正小标宋简体" w:cs="方正小标宋简体"/>
          <w:smallCaps w:val="0"/>
          <w:color w:val="000000" w:themeColor="text1"/>
          <w:sz w:val="52"/>
          <w:szCs w:val="52"/>
          <w:highlight w:val="none"/>
          <w14:textFill>
            <w14:solidFill>
              <w14:schemeClr w14:val="tx1"/>
            </w14:solidFill>
          </w14:textFill>
        </w:rPr>
        <w:t>公主岭市国民经济和社会发展</w:t>
      </w:r>
      <w:bookmarkEnd w:id="0"/>
      <w:bookmarkEnd w:id="1"/>
      <w:bookmarkStart w:id="2" w:name="_Toc4041"/>
      <w:bookmarkStart w:id="3" w:name="_Toc39407968"/>
    </w:p>
    <w:p w14:paraId="58B14888">
      <w:pPr>
        <w:ind w:firstLine="0" w:firstLineChars="0"/>
        <w:jc w:val="center"/>
        <w:rPr>
          <w:rFonts w:hint="eastAsia" w:ascii="Times New Roman" w:hAnsi="Times New Roman" w:eastAsia="方正小标宋简体" w:cs="方正小标宋简体"/>
          <w:smallCaps w:val="0"/>
          <w:color w:val="000000" w:themeColor="text1"/>
          <w:sz w:val="52"/>
          <w:szCs w:val="52"/>
          <w:highlight w:val="none"/>
          <w14:textFill>
            <w14:solidFill>
              <w14:schemeClr w14:val="tx1"/>
            </w14:solidFill>
          </w14:textFill>
        </w:rPr>
      </w:pPr>
      <w:r>
        <w:rPr>
          <w:rFonts w:hint="eastAsia" w:ascii="Times New Roman" w:hAnsi="Times New Roman" w:eastAsia="方正小标宋简体" w:cs="方正小标宋简体"/>
          <w:smallCaps w:val="0"/>
          <w:color w:val="000000" w:themeColor="text1"/>
          <w:sz w:val="52"/>
          <w:szCs w:val="52"/>
          <w:highlight w:val="none"/>
          <w14:textFill>
            <w14:solidFill>
              <w14:schemeClr w14:val="tx1"/>
            </w14:solidFill>
          </w14:textFill>
        </w:rPr>
        <w:t>第十五个五年规划纲要</w:t>
      </w:r>
      <w:bookmarkEnd w:id="2"/>
      <w:bookmarkEnd w:id="3"/>
    </w:p>
    <w:p w14:paraId="4850CDE5">
      <w:pPr>
        <w:ind w:firstLine="0" w:firstLineChars="0"/>
        <w:jc w:val="center"/>
        <w:rPr>
          <w:rFonts w:hint="eastAsia" w:ascii="Times New Roman" w:hAnsi="Times New Roman" w:eastAsia="方正小标宋简体" w:cs="方正小标宋简体"/>
          <w:smallCaps w:val="0"/>
          <w:color w:val="000000" w:themeColor="text1"/>
          <w:sz w:val="52"/>
          <w:szCs w:val="52"/>
          <w:highlight w:val="none"/>
          <w:lang w:val="en-US" w:eastAsia="zh-CN"/>
          <w14:textFill>
            <w14:solidFill>
              <w14:schemeClr w14:val="tx1"/>
            </w14:solidFill>
          </w14:textFill>
        </w:rPr>
      </w:pPr>
    </w:p>
    <w:p w14:paraId="103A9B92">
      <w:pPr>
        <w:ind w:firstLine="640"/>
        <w:rPr>
          <w:rFonts w:ascii="Times New Roman" w:hAnsi="Times New Roman"/>
          <w:smallCaps w:val="0"/>
          <w:color w:val="000000" w:themeColor="text1"/>
          <w:highlight w:val="none"/>
          <w14:textFill>
            <w14:solidFill>
              <w14:schemeClr w14:val="tx1"/>
            </w14:solidFill>
          </w14:textFill>
        </w:rPr>
      </w:pPr>
    </w:p>
    <w:p w14:paraId="741BDA83">
      <w:pPr>
        <w:pStyle w:val="4"/>
        <w:rPr>
          <w:rFonts w:ascii="Times New Roman" w:hAnsi="Times New Roman"/>
          <w:smallCaps w:val="0"/>
        </w:rPr>
      </w:pPr>
    </w:p>
    <w:p w14:paraId="4562D2F7">
      <w:pPr>
        <w:ind w:firstLine="640"/>
        <w:rPr>
          <w:rFonts w:ascii="Times New Roman" w:hAnsi="Times New Roman"/>
          <w:smallCaps w:val="0"/>
          <w:color w:val="000000" w:themeColor="text1"/>
          <w:highlight w:val="none"/>
          <w14:textFill>
            <w14:solidFill>
              <w14:schemeClr w14:val="tx1"/>
            </w14:solidFill>
          </w14:textFill>
        </w:rPr>
      </w:pPr>
    </w:p>
    <w:p w14:paraId="3BAB8D95">
      <w:pPr>
        <w:ind w:firstLine="640"/>
        <w:rPr>
          <w:rFonts w:ascii="Times New Roman" w:hAnsi="Times New Roman"/>
          <w:smallCaps w:val="0"/>
          <w:color w:val="000000" w:themeColor="text1"/>
          <w:highlight w:val="none"/>
          <w14:textFill>
            <w14:solidFill>
              <w14:schemeClr w14:val="tx1"/>
            </w14:solidFill>
          </w14:textFill>
        </w:rPr>
      </w:pPr>
    </w:p>
    <w:p w14:paraId="3D8B3064">
      <w:pPr>
        <w:ind w:firstLine="640"/>
        <w:rPr>
          <w:rFonts w:ascii="Times New Roman" w:hAnsi="Times New Roman"/>
          <w:smallCaps w:val="0"/>
          <w:color w:val="000000" w:themeColor="text1"/>
          <w:highlight w:val="none"/>
          <w14:textFill>
            <w14:solidFill>
              <w14:schemeClr w14:val="tx1"/>
            </w14:solidFill>
          </w14:textFill>
        </w:rPr>
      </w:pPr>
    </w:p>
    <w:p w14:paraId="1761C7EF">
      <w:pPr>
        <w:ind w:firstLine="640"/>
        <w:rPr>
          <w:rFonts w:ascii="Times New Roman" w:hAnsi="Times New Roman"/>
          <w:smallCaps w:val="0"/>
          <w:color w:val="000000" w:themeColor="text1"/>
          <w:highlight w:val="none"/>
          <w14:textFill>
            <w14:solidFill>
              <w14:schemeClr w14:val="tx1"/>
            </w14:solidFill>
          </w14:textFill>
        </w:rPr>
      </w:pPr>
    </w:p>
    <w:p w14:paraId="7BBBF633">
      <w:pPr>
        <w:ind w:firstLine="640"/>
        <w:rPr>
          <w:rFonts w:ascii="Times New Roman" w:hAnsi="Times New Roman"/>
          <w:smallCaps w:val="0"/>
          <w:color w:val="000000" w:themeColor="text1"/>
          <w:highlight w:val="none"/>
          <w14:textFill>
            <w14:solidFill>
              <w14:schemeClr w14:val="tx1"/>
            </w14:solidFill>
          </w14:textFill>
        </w:rPr>
      </w:pPr>
    </w:p>
    <w:p w14:paraId="11E9FBC8">
      <w:pPr>
        <w:ind w:firstLine="640"/>
        <w:rPr>
          <w:rFonts w:ascii="Times New Roman" w:hAnsi="Times New Roman"/>
          <w:smallCaps w:val="0"/>
          <w:color w:val="000000" w:themeColor="text1"/>
          <w:highlight w:val="none"/>
          <w14:textFill>
            <w14:solidFill>
              <w14:schemeClr w14:val="tx1"/>
            </w14:solidFill>
          </w14:textFill>
        </w:rPr>
      </w:pPr>
    </w:p>
    <w:p w14:paraId="587758AA">
      <w:pPr>
        <w:ind w:firstLine="0" w:firstLineChars="0"/>
        <w:rPr>
          <w:rFonts w:ascii="Times New Roman" w:hAnsi="Times New Roman"/>
          <w:smallCaps w:val="0"/>
          <w:color w:val="000000" w:themeColor="text1"/>
          <w:highlight w:val="none"/>
          <w14:textFill>
            <w14:solidFill>
              <w14:schemeClr w14:val="tx1"/>
            </w14:solidFill>
          </w14:textFill>
        </w:rPr>
      </w:pPr>
    </w:p>
    <w:p w14:paraId="18465CDB">
      <w:pPr>
        <w:ind w:firstLine="0" w:firstLineChars="0"/>
        <w:jc w:val="center"/>
        <w:rPr>
          <w:rFonts w:ascii="Times New Roman" w:hAnsi="Times New Roman" w:eastAsia="楷体_GB2312" w:cs="楷体_GB2312"/>
          <w:smallCaps w:val="0"/>
          <w:color w:val="000000" w:themeColor="text1"/>
          <w:sz w:val="36"/>
          <w:szCs w:val="36"/>
          <w:highlight w:val="none"/>
          <w14:textFill>
            <w14:solidFill>
              <w14:schemeClr w14:val="tx1"/>
            </w14:solidFill>
          </w14:textFill>
        </w:rPr>
      </w:pPr>
    </w:p>
    <w:p w14:paraId="6157F678">
      <w:pPr>
        <w:ind w:firstLine="0" w:firstLineChars="0"/>
        <w:jc w:val="center"/>
        <w:rPr>
          <w:rFonts w:ascii="Times New Roman" w:hAnsi="Times New Roman" w:eastAsia="楷体_GB2312" w:cs="楷体_GB2312"/>
          <w:smallCaps w:val="0"/>
          <w:color w:val="000000" w:themeColor="text1"/>
          <w:sz w:val="36"/>
          <w:szCs w:val="36"/>
          <w:highlight w:val="none"/>
          <w14:textFill>
            <w14:solidFill>
              <w14:schemeClr w14:val="tx1"/>
            </w14:solidFill>
          </w14:textFill>
        </w:rPr>
      </w:pPr>
    </w:p>
    <w:p w14:paraId="417259B9">
      <w:pPr>
        <w:ind w:firstLine="0" w:firstLineChars="0"/>
        <w:jc w:val="center"/>
        <w:rPr>
          <w:rFonts w:hint="default" w:ascii="Times New Roman" w:hAnsi="Times New Roman" w:eastAsia="楷体" w:cs="楷体"/>
          <w:smallCaps w:val="0"/>
          <w:color w:val="000000" w:themeColor="text1"/>
          <w:sz w:val="36"/>
          <w:szCs w:val="36"/>
          <w:highlight w:val="none"/>
          <w:lang w:val="en-US" w:eastAsia="zh-CN"/>
          <w14:textFill>
            <w14:solidFill>
              <w14:schemeClr w14:val="tx1"/>
            </w14:solidFill>
          </w14:textFill>
        </w:rPr>
      </w:pPr>
      <w:r>
        <w:rPr>
          <w:rFonts w:hint="eastAsia" w:ascii="Times New Roman" w:hAnsi="Times New Roman" w:eastAsia="楷体" w:cs="楷体"/>
          <w:smallCaps w:val="0"/>
          <w:color w:val="000000" w:themeColor="text1"/>
          <w:sz w:val="36"/>
          <w:szCs w:val="36"/>
          <w:highlight w:val="none"/>
          <w14:textFill>
            <w14:solidFill>
              <w14:schemeClr w14:val="tx1"/>
            </w14:solidFill>
          </w14:textFill>
        </w:rPr>
        <w:t>公主岭市</w:t>
      </w:r>
      <w:r>
        <w:rPr>
          <w:rFonts w:hint="eastAsia" w:ascii="Times New Roman" w:hAnsi="Times New Roman" w:eastAsia="楷体" w:cs="楷体"/>
          <w:smallCaps w:val="0"/>
          <w:color w:val="000000" w:themeColor="text1"/>
          <w:sz w:val="36"/>
          <w:szCs w:val="36"/>
          <w:highlight w:val="none"/>
          <w:lang w:val="en-US" w:eastAsia="zh-CN"/>
          <w14:textFill>
            <w14:solidFill>
              <w14:schemeClr w14:val="tx1"/>
            </w14:solidFill>
          </w14:textFill>
        </w:rPr>
        <w:t>人民政府</w:t>
      </w:r>
    </w:p>
    <w:p w14:paraId="55EC0F9D">
      <w:pPr>
        <w:ind w:firstLine="0" w:firstLineChars="0"/>
        <w:jc w:val="center"/>
        <w:rPr>
          <w:rFonts w:ascii="Times New Roman" w:hAnsi="Times New Roman" w:eastAsia="楷体" w:cs="楷体"/>
          <w:smallCaps w:val="0"/>
          <w:color w:val="000000" w:themeColor="text1"/>
          <w:sz w:val="36"/>
          <w:szCs w:val="36"/>
          <w:highlight w:val="none"/>
          <w14:textFill>
            <w14:solidFill>
              <w14:schemeClr w14:val="tx1"/>
            </w14:solidFill>
          </w14:textFill>
        </w:rPr>
      </w:pPr>
      <w:r>
        <w:rPr>
          <w:rFonts w:hint="eastAsia" w:ascii="Times New Roman" w:hAnsi="Times New Roman" w:eastAsia="楷体" w:cs="楷体"/>
          <w:smallCaps w:val="0"/>
          <w:color w:val="000000" w:themeColor="text1"/>
          <w:sz w:val="36"/>
          <w:szCs w:val="36"/>
          <w:highlight w:val="none"/>
          <w14:textFill>
            <w14:solidFill>
              <w14:schemeClr w14:val="tx1"/>
            </w14:solidFill>
          </w14:textFill>
        </w:rPr>
        <w:t>202</w:t>
      </w:r>
      <w:r>
        <w:rPr>
          <w:rFonts w:hint="eastAsia" w:ascii="Times New Roman" w:hAnsi="Times New Roman" w:eastAsia="楷体" w:cs="楷体"/>
          <w:smallCaps w:val="0"/>
          <w:color w:val="000000" w:themeColor="text1"/>
          <w:sz w:val="36"/>
          <w:szCs w:val="36"/>
          <w:highlight w:val="none"/>
          <w:lang w:val="en-US" w:eastAsia="zh-CN"/>
          <w14:textFill>
            <w14:solidFill>
              <w14:schemeClr w14:val="tx1"/>
            </w14:solidFill>
          </w14:textFill>
        </w:rPr>
        <w:t>6</w:t>
      </w:r>
      <w:r>
        <w:rPr>
          <w:rFonts w:hint="eastAsia" w:ascii="Times New Roman" w:hAnsi="Times New Roman" w:eastAsia="楷体" w:cs="楷体"/>
          <w:smallCaps w:val="0"/>
          <w:color w:val="000000" w:themeColor="text1"/>
          <w:sz w:val="36"/>
          <w:szCs w:val="36"/>
          <w:highlight w:val="none"/>
          <w14:textFill>
            <w14:solidFill>
              <w14:schemeClr w14:val="tx1"/>
            </w14:solidFill>
          </w14:textFill>
        </w:rPr>
        <w:t>年</w:t>
      </w:r>
      <w:r>
        <w:rPr>
          <w:rFonts w:hint="eastAsia" w:ascii="Times New Roman" w:hAnsi="Times New Roman" w:eastAsia="楷体" w:cs="楷体"/>
          <w:smallCaps w:val="0"/>
          <w:color w:val="000000" w:themeColor="text1"/>
          <w:sz w:val="36"/>
          <w:szCs w:val="36"/>
          <w:highlight w:val="none"/>
          <w:lang w:val="en-US" w:eastAsia="zh-CN"/>
          <w14:textFill>
            <w14:solidFill>
              <w14:schemeClr w14:val="tx1"/>
            </w14:solidFill>
          </w14:textFill>
        </w:rPr>
        <w:t>7</w:t>
      </w:r>
      <w:r>
        <w:rPr>
          <w:rFonts w:hint="eastAsia" w:ascii="Times New Roman" w:hAnsi="Times New Roman" w:eastAsia="楷体" w:cs="楷体"/>
          <w:smallCaps w:val="0"/>
          <w:color w:val="000000" w:themeColor="text1"/>
          <w:sz w:val="36"/>
          <w:szCs w:val="36"/>
          <w:highlight w:val="none"/>
          <w14:textFill>
            <w14:solidFill>
              <w14:schemeClr w14:val="tx1"/>
            </w14:solidFill>
          </w14:textFill>
        </w:rPr>
        <w:t>月</w:t>
      </w:r>
    </w:p>
    <w:p w14:paraId="057F8DA0">
      <w:pPr>
        <w:spacing w:line="440" w:lineRule="exact"/>
        <w:ind w:firstLine="0" w:firstLineChars="0"/>
        <w:rPr>
          <w:rFonts w:ascii="Times New Roman" w:hAnsi="Times New Roman" w:eastAsia="宋体"/>
          <w:smallCaps w:val="0"/>
          <w:color w:val="000000" w:themeColor="text1"/>
          <w:sz w:val="21"/>
          <w:highlight w:val="none"/>
          <w14:textFill>
            <w14:solidFill>
              <w14:schemeClr w14:val="tx1"/>
            </w14:solidFill>
          </w14:textFill>
        </w:rPr>
        <w:sectPr>
          <w:headerReference r:id="rId5" w:type="default"/>
          <w:footerReference r:id="rId6"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D709E24">
      <w:pPr>
        <w:spacing w:line="240" w:lineRule="auto"/>
        <w:ind w:firstLine="0" w:firstLineChars="0"/>
        <w:jc w:val="center"/>
        <w:rPr>
          <w:rFonts w:ascii="Times New Roman" w:hAnsi="Times New Roman" w:eastAsia="新宋体" w:cs="新宋体"/>
          <w:smallCaps w:val="0"/>
          <w:color w:val="000000" w:themeColor="text1"/>
          <w:sz w:val="44"/>
          <w:szCs w:val="44"/>
          <w:highlight w:val="none"/>
          <w14:textFill>
            <w14:solidFill>
              <w14:schemeClr w14:val="tx1"/>
            </w14:solidFill>
          </w14:textFill>
        </w:rPr>
        <w:sectPr>
          <w:footerReference r:id="rId7"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F6E1D79">
      <w:pPr>
        <w:keepNext w:val="0"/>
        <w:keepLines w:val="0"/>
        <w:pageBreakBefore w:val="0"/>
        <w:widowControl w:val="0"/>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方正小标宋简体" w:cs="方正小标宋简体"/>
          <w:smallCaps w:val="0"/>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smallCaps w:val="0"/>
          <w:color w:val="000000" w:themeColor="text1"/>
          <w:sz w:val="44"/>
          <w:szCs w:val="44"/>
          <w:highlight w:val="none"/>
          <w14:textFill>
            <w14:solidFill>
              <w14:schemeClr w14:val="tx1"/>
            </w14:solidFill>
          </w14:textFill>
        </w:rPr>
        <w:t>目  录</w:t>
      </w:r>
    </w:p>
    <w:sdt>
      <w:sdtPr>
        <w:rPr>
          <w:rFonts w:ascii="Times New Roman" w:hAnsi="Times New Roman" w:eastAsia="宋体" w:cs="宋体"/>
          <w:smallCaps w:val="0"/>
          <w:color w:val="000000" w:themeColor="text1"/>
          <w:kern w:val="2"/>
          <w:sz w:val="21"/>
          <w:szCs w:val="24"/>
          <w:highlight w:val="none"/>
          <w:lang w:val="en-US" w:eastAsia="zh-CN" w:bidi="ar-SA"/>
          <w14:textFill>
            <w14:solidFill>
              <w14:schemeClr w14:val="tx1"/>
            </w14:solidFill>
          </w14:textFill>
        </w:rPr>
        <w:id w:val="147467591"/>
        <w15:color w:val="DBDBDB"/>
        <w:docPartObj>
          <w:docPartGallery w:val="Table of Contents"/>
          <w:docPartUnique/>
        </w:docPartObj>
      </w:sdtPr>
      <w:sdtEndPr>
        <w:rPr>
          <w:rFonts w:ascii="Times New Roman" w:hAnsi="Times New Roman" w:eastAsia="宋体" w:cs="宋体"/>
          <w:smallCaps w:val="0"/>
          <w:color w:val="000000" w:themeColor="text1"/>
          <w:kern w:val="2"/>
          <w:sz w:val="21"/>
          <w:szCs w:val="24"/>
          <w:highlight w:val="none"/>
          <w:lang w:val="en-US" w:eastAsia="zh-CN" w:bidi="ar-SA"/>
          <w14:textFill>
            <w14:solidFill>
              <w14:schemeClr w14:val="tx1"/>
            </w14:solidFill>
          </w14:textFill>
        </w:rPr>
      </w:sdtEndPr>
      <w:sdtContent>
        <w:p w14:paraId="65A0AEB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ascii="Times New Roman" w:hAnsi="Times New Roman"/>
              <w:smallCaps w:val="0"/>
              <w:color w:val="000000" w:themeColor="text1"/>
              <w:sz w:val="32"/>
              <w:szCs w:val="24"/>
              <w:highlight w:val="none"/>
              <w14:textFill>
                <w14:solidFill>
                  <w14:schemeClr w14:val="tx1"/>
                </w14:solidFill>
              </w14:textFill>
            </w:rPr>
          </w:pPr>
        </w:p>
        <w:p w14:paraId="1EEF0A41">
          <w:pPr>
            <w:pStyle w:val="15"/>
            <w:tabs>
              <w:tab w:val="right" w:leader="dot" w:pos="8845"/>
            </w:tabs>
            <w:ind w:left="0" w:leftChars="0" w:firstLine="0" w:firstLineChars="0"/>
            <w:rPr>
              <w:rFonts w:hint="eastAsia" w:ascii="Times New Roman" w:hAnsi="Times New Roman" w:eastAsia="黑体" w:cs="黑体"/>
              <w:smallCaps w:val="0"/>
            </w:rPr>
          </w:pPr>
          <w:r>
            <w:rPr>
              <w:rFonts w:ascii="Times New Roman" w:hAnsi="Times New Roman"/>
              <w:smallCaps w:val="0"/>
              <w:color w:val="000000" w:themeColor="text1"/>
              <w:sz w:val="32"/>
              <w:szCs w:val="24"/>
              <w:highlight w:val="none"/>
              <w14:textFill>
                <w14:solidFill>
                  <w14:schemeClr w14:val="tx1"/>
                </w14:solidFill>
              </w14:textFill>
            </w:rPr>
            <w:fldChar w:fldCharType="begin"/>
          </w:r>
          <w:r>
            <w:rPr>
              <w:rFonts w:ascii="Times New Roman" w:hAnsi="Times New Roman"/>
              <w:smallCaps w:val="0"/>
              <w:color w:val="000000" w:themeColor="text1"/>
              <w:sz w:val="32"/>
              <w:szCs w:val="24"/>
              <w:highlight w:val="none"/>
              <w14:textFill>
                <w14:solidFill>
                  <w14:schemeClr w14:val="tx1"/>
                </w14:solidFill>
              </w14:textFill>
            </w:rPr>
            <w:instrText xml:space="preserve">TOC \o "1-9" \h \u </w:instrText>
          </w:r>
          <w:r>
            <w:rPr>
              <w:rFonts w:ascii="Times New Roman" w:hAnsi="Times New Roman"/>
              <w:smallCaps w:val="0"/>
              <w:color w:val="000000" w:themeColor="text1"/>
              <w:sz w:val="32"/>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szCs w:val="24"/>
              <w:highlight w:val="none"/>
            </w:rPr>
            <w:instrText xml:space="preserve"> HYPERLINK \l _Toc22185 </w:instrText>
          </w:r>
          <w:r>
            <w:rPr>
              <w:rFonts w:hint="eastAsia" w:ascii="Times New Roman" w:hAnsi="Times New Roman" w:eastAsia="黑体" w:cs="黑体"/>
              <w:smallCaps w:val="0"/>
              <w:szCs w:val="24"/>
              <w:highlight w:val="none"/>
            </w:rPr>
            <w:fldChar w:fldCharType="separate"/>
          </w:r>
          <w:r>
            <w:rPr>
              <w:rFonts w:hint="eastAsia" w:ascii="Times New Roman" w:hAnsi="Times New Roman" w:eastAsia="黑体" w:cs="黑体"/>
              <w:smallCaps w:val="0"/>
              <w:szCs w:val="32"/>
              <w:highlight w:val="none"/>
            </w:rPr>
            <w:t>第一章  当好县域发展排头兵，开启强县建设新征程</w:t>
          </w:r>
          <w:r>
            <w:rPr>
              <w:rFonts w:hint="eastAsia" w:ascii="Times New Roman" w:hAnsi="Times New Roman" w:eastAsia="黑体" w:cs="黑体"/>
              <w:smallCaps w:val="0"/>
            </w:rPr>
            <w:tab/>
          </w:r>
          <w:r>
            <w:rPr>
              <w:rFonts w:hint="eastAsia" w:ascii="Times New Roman" w:hAnsi="Times New Roman" w:eastAsia="黑体" w:cs="黑体"/>
              <w:smallCaps w:val="0"/>
            </w:rPr>
            <w:fldChar w:fldCharType="begin"/>
          </w:r>
          <w:r>
            <w:rPr>
              <w:rFonts w:hint="eastAsia" w:ascii="Times New Roman" w:hAnsi="Times New Roman" w:eastAsia="黑体" w:cs="黑体"/>
              <w:smallCaps w:val="0"/>
            </w:rPr>
            <w:instrText xml:space="preserve"> PAGEREF _Toc22185 \h </w:instrText>
          </w:r>
          <w:r>
            <w:rPr>
              <w:rFonts w:hint="eastAsia" w:ascii="Times New Roman" w:hAnsi="Times New Roman" w:eastAsia="黑体" w:cs="黑体"/>
              <w:smallCaps w:val="0"/>
            </w:rPr>
            <w:fldChar w:fldCharType="separate"/>
          </w:r>
          <w:r>
            <w:rPr>
              <w:rFonts w:hint="eastAsia" w:ascii="Times New Roman" w:hAnsi="Times New Roman" w:eastAsia="黑体" w:cs="黑体"/>
              <w:smallCaps w:val="0"/>
            </w:rPr>
            <w:t>1</w:t>
          </w:r>
          <w:r>
            <w:rPr>
              <w:rFonts w:hint="eastAsia" w:ascii="Times New Roman" w:hAnsi="Times New Roman" w:eastAsia="黑体" w:cs="黑体"/>
              <w:smallCaps w:val="0"/>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400C3073">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_Toc23919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第一节 发展基础</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_Toc23919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9486F07">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_Toc31230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第二节 指导思想</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_Toc31230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34A4CA6">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_Toc32715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第三节 发展战略</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_Toc32715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11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3153A61C">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_Toc12088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第四节 发展目标</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_Toc12088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12</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02C19A71">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_Toc25899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第二章 共建长春现代化都市圈，推进全域协调发展</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_Toc25899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15</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2B3C1B9E">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_Toc8850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塑造国土空间基础格局</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_Toc8850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15</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B7C65D1">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_Toc2249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构建</w:t>
          </w:r>
          <w:r>
            <w:rPr>
              <w:rFonts w:hint="eastAsia" w:ascii="Times New Roman" w:hAnsi="Times New Roman" w:eastAsia="楷体" w:cs="楷体"/>
              <w:smallCaps w:val="0"/>
              <w:highlight w:val="none"/>
              <w:lang w:eastAsia="zh-CN"/>
            </w:rPr>
            <w:t>“</w:t>
          </w:r>
          <w:r>
            <w:rPr>
              <w:rFonts w:hint="eastAsia" w:ascii="Times New Roman" w:hAnsi="Times New Roman" w:eastAsia="楷体" w:cs="楷体"/>
              <w:smallCaps w:val="0"/>
              <w:highlight w:val="none"/>
            </w:rPr>
            <w:t>三区一带多点</w:t>
          </w:r>
          <w:r>
            <w:rPr>
              <w:rFonts w:hint="eastAsia" w:ascii="Times New Roman" w:hAnsi="Times New Roman" w:eastAsia="楷体" w:cs="楷体"/>
              <w:smallCaps w:val="0"/>
              <w:highlight w:val="none"/>
              <w:lang w:eastAsia="zh-CN"/>
            </w:rPr>
            <w:t>”</w:t>
          </w:r>
          <w:r>
            <w:rPr>
              <w:rFonts w:hint="eastAsia" w:ascii="Times New Roman" w:hAnsi="Times New Roman" w:eastAsia="楷体" w:cs="楷体"/>
              <w:smallCaps w:val="0"/>
              <w:highlight w:val="none"/>
            </w:rPr>
            <w:t>布局</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_Toc2249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16</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7AA086F5">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_Toc1616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共建长春现代化都市圈</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_Toc1616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18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ADA9D85">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_Toc6888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第三章 突出高质量发展导向，塑造现代化产业体系</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_Toc6888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20</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17FB3048">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_Toc7305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优化提升汽车</w:t>
          </w:r>
          <w:r>
            <w:rPr>
              <w:rFonts w:hint="eastAsia" w:ascii="Times New Roman" w:hAnsi="Times New Roman" w:eastAsia="楷体" w:cs="楷体"/>
              <w:smallCaps w:val="0"/>
              <w:highlight w:val="none"/>
              <w:lang w:val="en-US" w:eastAsia="zh-CN"/>
            </w:rPr>
            <w:t>及</w:t>
          </w:r>
          <w:r>
            <w:rPr>
              <w:rFonts w:hint="eastAsia" w:ascii="Times New Roman" w:hAnsi="Times New Roman" w:eastAsia="楷体" w:cs="楷体"/>
              <w:smallCaps w:val="0"/>
              <w:highlight w:val="none"/>
            </w:rPr>
            <w:t>零部件产业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_Toc7305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05150EA9">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_Toc25753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做精做深农产品</w:t>
          </w:r>
          <w:r>
            <w:rPr>
              <w:rFonts w:hint="eastAsia" w:ascii="Times New Roman" w:hAnsi="Times New Roman" w:eastAsia="楷体" w:cs="楷体"/>
              <w:smallCaps w:val="0"/>
              <w:highlight w:val="none"/>
              <w:lang w:val="en-US" w:eastAsia="zh-CN"/>
            </w:rPr>
            <w:t>精深</w:t>
          </w:r>
          <w:r>
            <w:rPr>
              <w:rFonts w:hint="eastAsia" w:ascii="Times New Roman" w:hAnsi="Times New Roman" w:eastAsia="楷体" w:cs="楷体"/>
              <w:smallCaps w:val="0"/>
              <w:highlight w:val="none"/>
            </w:rPr>
            <w:t>加工产业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_Toc25753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22</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41EE2BE">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_Toc17403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 xml:space="preserve">第三节 </w:t>
          </w:r>
          <w:r>
            <w:rPr>
              <w:rFonts w:hint="eastAsia" w:ascii="Times New Roman" w:hAnsi="Times New Roman" w:eastAsia="楷体" w:cs="楷体"/>
              <w:smallCaps w:val="0"/>
              <w:highlight w:val="none"/>
              <w:lang w:val="en-US" w:eastAsia="zh-CN"/>
            </w:rPr>
            <w:t>壮大现代</w:t>
          </w:r>
          <w:r>
            <w:rPr>
              <w:rFonts w:hint="eastAsia" w:ascii="Times New Roman" w:hAnsi="Times New Roman" w:eastAsia="楷体" w:cs="楷体"/>
              <w:smallCaps w:val="0"/>
              <w:highlight w:val="none"/>
            </w:rPr>
            <w:t>物流产业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_Toc17403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24</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0CA457D8">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_Toc25554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 xml:space="preserve">第四节 </w:t>
          </w:r>
          <w:r>
            <w:rPr>
              <w:rFonts w:hint="eastAsia" w:ascii="Times New Roman" w:hAnsi="Times New Roman" w:eastAsia="楷体" w:cs="楷体"/>
              <w:smallCaps w:val="0"/>
              <w:szCs w:val="32"/>
              <w:highlight w:val="none"/>
              <w:lang w:val="en-US" w:eastAsia="zh-CN"/>
            </w:rPr>
            <w:t>做强</w:t>
          </w:r>
          <w:r>
            <w:rPr>
              <w:rFonts w:hint="eastAsia" w:ascii="Times New Roman" w:hAnsi="Times New Roman" w:eastAsia="楷体" w:cs="楷体"/>
              <w:smallCaps w:val="0"/>
              <w:szCs w:val="32"/>
              <w:highlight w:val="none"/>
            </w:rPr>
            <w:t>现代种业产业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_Toc25554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25</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085E9C6C">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_Toc23625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第</w:t>
          </w:r>
          <w:r>
            <w:rPr>
              <w:rFonts w:hint="eastAsia" w:ascii="Times New Roman" w:hAnsi="Times New Roman" w:eastAsia="楷体" w:cs="楷体"/>
              <w:smallCaps w:val="0"/>
              <w:szCs w:val="32"/>
              <w:highlight w:val="none"/>
              <w:lang w:val="en-US" w:eastAsia="zh-CN"/>
            </w:rPr>
            <w:t>五</w:t>
          </w:r>
          <w:r>
            <w:rPr>
              <w:rFonts w:hint="eastAsia" w:ascii="Times New Roman" w:hAnsi="Times New Roman" w:eastAsia="楷体" w:cs="楷体"/>
              <w:smallCaps w:val="0"/>
              <w:szCs w:val="32"/>
              <w:highlight w:val="none"/>
            </w:rPr>
            <w:t>节 提升现代文旅产业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_Toc23625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26</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2BEB3139">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_Toc29982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 xml:space="preserve">第六节 </w:t>
          </w:r>
          <w:r>
            <w:rPr>
              <w:rFonts w:hint="eastAsia" w:ascii="Times New Roman" w:hAnsi="Times New Roman" w:eastAsia="楷体" w:cs="楷体"/>
              <w:smallCaps w:val="0"/>
              <w:szCs w:val="32"/>
              <w:highlight w:val="none"/>
              <w:lang w:val="en-US" w:eastAsia="zh-CN"/>
            </w:rPr>
            <w:t>打造</w:t>
          </w:r>
          <w:r>
            <w:rPr>
              <w:rFonts w:hint="eastAsia" w:ascii="Times New Roman" w:hAnsi="Times New Roman" w:eastAsia="楷体" w:cs="楷体"/>
              <w:smallCaps w:val="0"/>
              <w:szCs w:val="32"/>
              <w:highlight w:val="none"/>
            </w:rPr>
            <w:t>高端农业服务业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_Toc29982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7849795C">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_Toc17761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szCs w:val="32"/>
              <w:highlight w:val="none"/>
            </w:rPr>
            <w:t>第七节 培育产业新兴增长点</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_Toc17761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28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4841B26">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_Toc24576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第四章 建设长春国家农高区，引领乡村全面振兴</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_Toc24576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31</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12672802">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_Toc6878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lang w:val="en-US" w:eastAsia="zh-CN"/>
            </w:rPr>
            <w:t xml:space="preserve">第一节 </w:t>
          </w:r>
          <w:r>
            <w:rPr>
              <w:rFonts w:hint="eastAsia" w:ascii="Times New Roman" w:hAnsi="Times New Roman" w:eastAsia="楷体" w:cs="楷体"/>
              <w:smallCaps w:val="0"/>
              <w:highlight w:val="none"/>
            </w:rPr>
            <w:t>聚力建设长春国家农高区</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_Toc6878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31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74FE99A9">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_Toc831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保障国家粮食安全</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_Toc831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34</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4AFB01E">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_Toc5022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推动畜牧业提档升级</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_Toc5022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36</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54FA2C4">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_Toc2223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推进兴业富民产业</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_Toc2223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37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78F7E115">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_Toc28388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第五节 建设宜居宜业和美乡村</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_Toc28388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39</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A360487">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_Toc1082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第六节 推进农业农村改革</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_Toc1082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40</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45F0B10">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_Toc25541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第七节 巩固拓展脱贫攻坚成果</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_Toc25541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024703EB">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_Toc16435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第五章 建设现代化人民城市，打造长春</w:t>
          </w:r>
          <w:r>
            <w:rPr>
              <w:rFonts w:hint="eastAsia" w:ascii="Times New Roman" w:hAnsi="Times New Roman" w:eastAsia="黑体" w:cs="黑体"/>
              <w:smallCaps w:val="0"/>
              <w:color w:val="000000" w:themeColor="text1"/>
              <w:szCs w:val="24"/>
              <w:highlight w:val="none"/>
              <w:lang w:val="en-US" w:eastAsia="zh-CN"/>
              <w14:textFill>
                <w14:solidFill>
                  <w14:schemeClr w14:val="tx1"/>
                </w14:solidFill>
              </w14:textFill>
            </w:rPr>
            <w:t>市域</w:t>
          </w:r>
          <w:r>
            <w:rPr>
              <w:rFonts w:hint="eastAsia" w:ascii="Times New Roman" w:hAnsi="Times New Roman" w:eastAsia="黑体" w:cs="黑体"/>
              <w:smallCaps w:val="0"/>
              <w:color w:val="000000" w:themeColor="text1"/>
              <w:szCs w:val="24"/>
              <w:highlight w:val="none"/>
              <w14:textFill>
                <w14:solidFill>
                  <w14:schemeClr w14:val="tx1"/>
                </w14:solidFill>
              </w14:textFill>
            </w:rPr>
            <w:t>副中心</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_Toc16435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42</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524B387D">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_Toc27816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优化城镇发展整体布局</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_Toc27816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42</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3BA90DF">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_Toc18746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全力推进城市更新</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_Toc18746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43</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3BB3A5D6">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_Toc22564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打造现代化基础设施体系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_Toc22564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46</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AFB67F3">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_Toc7732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推动城乡深度融合发展</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_Toc7732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2F40BC5">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_Toc4490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第六章</w:t>
          </w:r>
          <w:r>
            <w:rPr>
              <w:rFonts w:hint="eastAsia" w:ascii="Times New Roman" w:hAnsi="Times New Roman" w:eastAsia="黑体" w:cs="黑体"/>
              <w:smallCaps w:val="0"/>
              <w:color w:val="000000" w:themeColor="text1"/>
              <w:szCs w:val="24"/>
              <w:highlight w:val="none"/>
              <w:lang w:val="en-US" w:eastAsia="zh-CN"/>
              <w14:textFill>
                <w14:solidFill>
                  <w14:schemeClr w14:val="tx1"/>
                </w14:solidFill>
              </w14:textFill>
            </w:rPr>
            <w:t xml:space="preserve"> </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融入全国统一大市场</w:t>
          </w:r>
          <w:r>
            <w:rPr>
              <w:rFonts w:hint="eastAsia" w:ascii="Times New Roman" w:hAnsi="Times New Roman" w:eastAsia="黑体" w:cs="黑体"/>
              <w:smallCaps w:val="0"/>
              <w:color w:val="000000" w:themeColor="text1"/>
              <w:szCs w:val="24"/>
              <w:highlight w:val="none"/>
              <w:lang w:val="en-US" w:eastAsia="zh-CN"/>
              <w14:textFill>
                <w14:solidFill>
                  <w14:schemeClr w14:val="tx1"/>
                </w14:solidFill>
              </w14:textFill>
            </w:rPr>
            <w:t>，持续扩大内需</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_Toc4490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49</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3C6937C1">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_Toc19755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lang w:val="en-US" w:eastAsia="zh-CN"/>
            </w:rPr>
            <w:t>第一节 激发县域消费活力</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_Toc19755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49</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0998B0B">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_Toc26314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lang w:val="en-US" w:eastAsia="zh-CN"/>
            </w:rPr>
            <w:t>第二节 积极拓展有效投资</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_Toc26314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50</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71FF738">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_Toc19478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lang w:val="en-US" w:eastAsia="zh-CN"/>
            </w:rPr>
            <w:t>第三节 融入全国统一大市场</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_Toc19478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7AAF9A2">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_Toc32422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七</w:t>
          </w:r>
          <w:r>
            <w:rPr>
              <w:rFonts w:hint="eastAsia" w:ascii="Times New Roman" w:hAnsi="Times New Roman" w:eastAsia="黑体" w:cs="黑体"/>
              <w:smallCaps w:val="0"/>
              <w:color w:val="000000" w:themeColor="text1"/>
              <w:szCs w:val="24"/>
              <w:highlight w:val="none"/>
              <w14:textFill>
                <w14:solidFill>
                  <w14:schemeClr w14:val="tx1"/>
                </w14:solidFill>
              </w14:textFill>
            </w:rPr>
            <w:t>章 全面深化改革开放，</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激发内生动力</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_Toc32422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52</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21C874E6">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_Toc5325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建设一流营商环境</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_Toc5325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52</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49CC34E">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_Toc2375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发展壮大民营经济</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_Toc2375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53</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2BCEA0A">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_Toc1465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推进重点领域改革</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_Toc1465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54</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6FDD7C6">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_Toc18099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强化精准开放合作</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_Toc18099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55</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309B9CA6">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_Toc21767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第五节 实施招商引资工程</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_Toc21767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56</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83CCFB8">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_Toc6579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八</w:t>
          </w:r>
          <w:r>
            <w:rPr>
              <w:rFonts w:hint="eastAsia" w:ascii="Times New Roman" w:hAnsi="Times New Roman" w:eastAsia="黑体" w:cs="黑体"/>
              <w:smallCaps w:val="0"/>
              <w:color w:val="000000" w:themeColor="text1"/>
              <w:szCs w:val="24"/>
              <w:highlight w:val="none"/>
              <w14:textFill>
                <w14:solidFill>
                  <w14:schemeClr w14:val="tx1"/>
                </w14:solidFill>
              </w14:textFill>
            </w:rPr>
            <w:t>章 突出创新驱动，提升科技创新精准度</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_Toc6579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57</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17E42CCB">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_Toc4707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实施科技创新能力提升工程</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_Toc4707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DA1CED1">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_Toc21290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 xml:space="preserve">第二节 </w:t>
          </w:r>
          <w:r>
            <w:rPr>
              <w:rFonts w:hint="eastAsia" w:ascii="Times New Roman" w:hAnsi="Times New Roman" w:eastAsia="楷体" w:cs="楷体"/>
              <w:smallCaps w:val="0"/>
              <w:highlight w:val="none"/>
              <w:lang w:eastAsia="zh-CN"/>
            </w:rPr>
            <w:t>推动</w:t>
          </w:r>
          <w:r>
            <w:rPr>
              <w:rFonts w:hint="eastAsia" w:ascii="Times New Roman" w:hAnsi="Times New Roman" w:eastAsia="楷体" w:cs="楷体"/>
              <w:smallCaps w:val="0"/>
              <w:highlight w:val="none"/>
            </w:rPr>
            <w:t>科技创新</w:t>
          </w:r>
          <w:r>
            <w:rPr>
              <w:rFonts w:hint="eastAsia" w:ascii="Times New Roman" w:hAnsi="Times New Roman" w:eastAsia="楷体" w:cs="楷体"/>
              <w:smallCaps w:val="0"/>
              <w:highlight w:val="none"/>
              <w:lang w:eastAsia="zh-CN"/>
            </w:rPr>
            <w:t>与</w:t>
          </w:r>
          <w:r>
            <w:rPr>
              <w:rFonts w:hint="eastAsia" w:ascii="Times New Roman" w:hAnsi="Times New Roman" w:eastAsia="楷体" w:cs="楷体"/>
              <w:smallCaps w:val="0"/>
              <w:highlight w:val="none"/>
            </w:rPr>
            <w:t>产业创新深度融合</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_Toc21290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58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2EF2C8B">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_Toc21375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打造活力彰显科技创新生态</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_Toc21375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60</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39FA7061">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_Toc242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九</w:t>
          </w:r>
          <w:r>
            <w:rPr>
              <w:rFonts w:hint="eastAsia" w:ascii="Times New Roman" w:hAnsi="Times New Roman" w:eastAsia="黑体" w:cs="黑体"/>
              <w:smallCaps w:val="0"/>
              <w:color w:val="000000" w:themeColor="text1"/>
              <w:szCs w:val="24"/>
              <w:highlight w:val="none"/>
              <w14:textFill>
                <w14:solidFill>
                  <w14:schemeClr w14:val="tx1"/>
                </w14:solidFill>
              </w14:textFill>
            </w:rPr>
            <w:t>章 完善生态环境治理体系，着力建设美丽公主岭</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_Toc242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61</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49DCF3BB">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_Toc18938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 xml:space="preserve">第一节 </w:t>
          </w:r>
          <w:r>
            <w:rPr>
              <w:rFonts w:hint="eastAsia" w:ascii="Times New Roman" w:hAnsi="Times New Roman" w:eastAsia="楷体" w:cs="楷体"/>
              <w:smallCaps w:val="0"/>
              <w:highlight w:val="none"/>
              <w:lang w:val="en-US" w:eastAsia="zh-CN"/>
            </w:rPr>
            <w:t>努力实现</w:t>
          </w:r>
          <w:r>
            <w:rPr>
              <w:rFonts w:hint="eastAsia" w:ascii="Times New Roman" w:hAnsi="Times New Roman" w:eastAsia="楷体" w:cs="楷体"/>
              <w:smallCaps w:val="0"/>
              <w:highlight w:val="none"/>
            </w:rPr>
            <w:t>碳达峰</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_Toc18938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02C73E7">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_Toc9387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w:t>
          </w:r>
          <w:r>
            <w:rPr>
              <w:rFonts w:hint="eastAsia" w:ascii="Times New Roman" w:hAnsi="Times New Roman" w:eastAsia="楷体" w:cs="楷体"/>
              <w:smallCaps w:val="0"/>
              <w:highlight w:val="none"/>
              <w:lang w:eastAsia="zh-CN"/>
            </w:rPr>
            <w:t>二</w:t>
          </w:r>
          <w:r>
            <w:rPr>
              <w:rFonts w:hint="eastAsia" w:ascii="Times New Roman" w:hAnsi="Times New Roman" w:eastAsia="楷体" w:cs="楷体"/>
              <w:smallCaps w:val="0"/>
              <w:highlight w:val="none"/>
            </w:rPr>
            <w:t>节 精准实施污染治理</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_Toc9387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62</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0FB142B6">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_Toc13671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w:t>
          </w:r>
          <w:r>
            <w:rPr>
              <w:rFonts w:hint="eastAsia" w:ascii="Times New Roman" w:hAnsi="Times New Roman" w:eastAsia="楷体" w:cs="楷体"/>
              <w:smallCaps w:val="0"/>
              <w:highlight w:val="none"/>
              <w:lang w:eastAsia="zh-CN"/>
            </w:rPr>
            <w:t>三</w:t>
          </w:r>
          <w:r>
            <w:rPr>
              <w:rFonts w:hint="eastAsia" w:ascii="Times New Roman" w:hAnsi="Times New Roman" w:eastAsia="楷体" w:cs="楷体"/>
              <w:smallCaps w:val="0"/>
              <w:highlight w:val="none"/>
            </w:rPr>
            <w:t>节 保护修复生态系统</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_Toc13671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64</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7E46AD19">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_Toc6709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w:t>
          </w:r>
          <w:r>
            <w:rPr>
              <w:rFonts w:hint="eastAsia" w:ascii="Times New Roman" w:hAnsi="Times New Roman" w:eastAsia="楷体" w:cs="楷体"/>
              <w:smallCaps w:val="0"/>
              <w:highlight w:val="none"/>
              <w:lang w:eastAsia="zh-CN"/>
            </w:rPr>
            <w:t>四</w:t>
          </w:r>
          <w:r>
            <w:rPr>
              <w:rFonts w:hint="eastAsia" w:ascii="Times New Roman" w:hAnsi="Times New Roman" w:eastAsia="楷体" w:cs="楷体"/>
              <w:smallCaps w:val="0"/>
              <w:highlight w:val="none"/>
            </w:rPr>
            <w:t>节 完善生态文明制度</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_Toc6709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65</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3814680A">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_Toc31351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十</w:t>
          </w:r>
          <w:r>
            <w:rPr>
              <w:rFonts w:hint="eastAsia" w:ascii="Times New Roman" w:hAnsi="Times New Roman" w:eastAsia="黑体" w:cs="黑体"/>
              <w:smallCaps w:val="0"/>
              <w:color w:val="000000" w:themeColor="text1"/>
              <w:szCs w:val="24"/>
              <w:highlight w:val="none"/>
              <w14:textFill>
                <w14:solidFill>
                  <w14:schemeClr w14:val="tx1"/>
                </w14:solidFill>
              </w14:textFill>
            </w:rPr>
            <w:t>章 推动民生福祉提标扩面，着力建设幸福公主岭</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_Toc31351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66</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19A0EBE8">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_Toc29342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统筹就业优先和居民增收</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_Toc29342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C5D83D8">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_Toc12442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构建县域高质量教育体系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_Toc12442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68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E93EBB1">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_Toc28612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建设现代化健康服务体系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_Toc28612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71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3893890">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_Toc16791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健全多层次社会保障体系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_Toc16791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73</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3826E39">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_Toc28182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第五节 高质量打造养老服务体系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_Toc28182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75</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6955D9F">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_Toc21223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第十</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一</w:t>
          </w:r>
          <w:r>
            <w:rPr>
              <w:rFonts w:hint="eastAsia" w:ascii="Times New Roman" w:hAnsi="Times New Roman" w:eastAsia="黑体" w:cs="黑体"/>
              <w:smallCaps w:val="0"/>
              <w:color w:val="000000" w:themeColor="text1"/>
              <w:szCs w:val="24"/>
              <w:highlight w:val="none"/>
              <w14:textFill>
                <w14:solidFill>
                  <w14:schemeClr w14:val="tx1"/>
                </w14:solidFill>
              </w14:textFill>
            </w:rPr>
            <w:t>章 践行社会主义核心价值观，着力建设文明公主岭</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_Toc21223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77</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33804CDA">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_Toc13564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践行社会主义核心价值观</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_Toc13564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77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5620100">
          <w:pPr>
            <w:pStyle w:val="15"/>
            <w:tabs>
              <w:tab w:val="right" w:leader="dot" w:pos="8845"/>
            </w:tabs>
            <w:rPr>
              <w:rFonts w:hint="default" w:ascii="Times New Roman" w:hAnsi="Times New Roman" w:eastAsia="楷体" w:cs="楷体"/>
              <w:smallCaps w:val="0"/>
              <w:color w:val="000000" w:themeColor="text1"/>
              <w:szCs w:val="24"/>
              <w:highlight w:val="none"/>
              <w:lang w:val="en-US" w:eastAsia="zh-CN"/>
              <w14:textFill>
                <w14:solidFill>
                  <w14:schemeClr w14:val="tx1"/>
                </w14:solidFill>
              </w14:textFill>
            </w:rPr>
          </w:pPr>
          <w:r>
            <w:rPr>
              <w:rFonts w:hint="eastAsia" w:ascii="Times New Roman" w:hAnsi="Times New Roman" w:eastAsia="楷体" w:cs="楷体"/>
              <w:smallCaps w:val="0"/>
              <w:color w:val="000000" w:themeColor="text1"/>
              <w:szCs w:val="24"/>
              <w:highlight w:val="none"/>
              <w:lang w:val="en-US" w:eastAsia="zh-CN"/>
              <w14:textFill>
                <w14:solidFill>
                  <w14:schemeClr w14:val="tx1"/>
                </w14:solidFill>
              </w14:textFill>
            </w:rPr>
            <w:t>第二节 提升公共文化服务水平</w:t>
          </w:r>
          <w:r>
            <w:rPr>
              <w:rFonts w:hint="eastAsia" w:ascii="Times New Roman" w:hAnsi="Times New Roman" w:eastAsia="楷体" w:cs="楷体"/>
              <w:smallCaps w:val="0"/>
            </w:rPr>
            <w:tab/>
          </w:r>
          <w:r>
            <w:rPr>
              <w:rFonts w:hint="eastAsia" w:ascii="Times New Roman" w:hAnsi="Times New Roman" w:eastAsia="楷体" w:cs="楷体"/>
              <w:smallCaps w:val="0"/>
              <w:lang w:val="en-US" w:eastAsia="zh-CN"/>
            </w:rPr>
            <w:t>78</w:t>
          </w:r>
        </w:p>
        <w:p w14:paraId="37E54E72">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_Toc11987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推动文化产业加速振兴</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_Toc11987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79</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6B91234">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_Toc11258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有序开发历史文化资源</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_Toc11258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79</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25091445">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_Toc21420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第十</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二</w:t>
          </w:r>
          <w:r>
            <w:rPr>
              <w:rFonts w:hint="eastAsia" w:ascii="Times New Roman" w:hAnsi="Times New Roman" w:eastAsia="黑体" w:cs="黑体"/>
              <w:smallCaps w:val="0"/>
              <w:color w:val="000000" w:themeColor="text1"/>
              <w:szCs w:val="24"/>
              <w:highlight w:val="none"/>
              <w14:textFill>
                <w14:solidFill>
                  <w14:schemeClr w14:val="tx1"/>
                </w14:solidFill>
              </w14:textFill>
            </w:rPr>
            <w:t>章 全面夯实基层治理基础，着力建设法治公主岭</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_Toc21420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80</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59DB37C3">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_Toc8595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维护国家安全大局</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_Toc8595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81</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1FF3BBB">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_Toc16787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健全公共安全体系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_Toc16787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82</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2EC26D3B">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_Toc31334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创新基层治理模式</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_Toc31334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84</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5EFDDB59">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_Toc9127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建设法治公主岭</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_Toc9127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85</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37F92E52">
          <w:pPr>
            <w:pStyle w:val="15"/>
            <w:tabs>
              <w:tab w:val="right" w:leader="dot" w:pos="8845"/>
            </w:tabs>
            <w:ind w:left="0" w:leftChars="0" w:firstLine="0" w:firstLineChars="0"/>
            <w:rPr>
              <w:rFonts w:hint="eastAsia" w:ascii="Times New Roman" w:hAnsi="Times New Roman" w:eastAsia="黑体" w:cs="黑体"/>
              <w:smallCaps w:val="0"/>
              <w:color w:val="000000" w:themeColor="text1"/>
              <w:szCs w:val="24"/>
              <w:highlight w:val="none"/>
              <w14:textFill>
                <w14:solidFill>
                  <w14:schemeClr w14:val="tx1"/>
                </w14:solidFill>
              </w14:textFill>
            </w:rPr>
          </w:pP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HYPERLINK \l _Toc4644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第十</w:t>
          </w:r>
          <w:r>
            <w:rPr>
              <w:rFonts w:hint="eastAsia" w:ascii="Times New Roman" w:hAnsi="Times New Roman" w:eastAsia="黑体" w:cs="黑体"/>
              <w:smallCaps w:val="0"/>
              <w:color w:val="000000" w:themeColor="text1"/>
              <w:szCs w:val="24"/>
              <w:highlight w:val="none"/>
              <w:lang w:eastAsia="zh-CN"/>
              <w14:textFill>
                <w14:solidFill>
                  <w14:schemeClr w14:val="tx1"/>
                </w14:solidFill>
              </w14:textFill>
            </w:rPr>
            <w:t>三</w:t>
          </w:r>
          <w:r>
            <w:rPr>
              <w:rFonts w:hint="eastAsia" w:ascii="Times New Roman" w:hAnsi="Times New Roman" w:eastAsia="黑体" w:cs="黑体"/>
              <w:smallCaps w:val="0"/>
              <w:color w:val="000000" w:themeColor="text1"/>
              <w:szCs w:val="24"/>
              <w:highlight w:val="none"/>
              <w14:textFill>
                <w14:solidFill>
                  <w14:schemeClr w14:val="tx1"/>
                </w14:solidFill>
              </w14:textFill>
            </w:rPr>
            <w:t>章 科学保障规划实施，聚力实现“十五五”发展目标</w:t>
          </w:r>
          <w:r>
            <w:rPr>
              <w:rFonts w:hint="eastAsia" w:ascii="Times New Roman" w:hAnsi="Times New Roman" w:eastAsia="黑体" w:cs="黑体"/>
              <w:smallCaps w:val="0"/>
              <w:color w:val="000000" w:themeColor="text1"/>
              <w:szCs w:val="24"/>
              <w:highlight w:val="none"/>
              <w14:textFill>
                <w14:solidFill>
                  <w14:schemeClr w14:val="tx1"/>
                </w14:solidFill>
              </w14:textFill>
            </w:rPr>
            <w:tab/>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黑体" w:cs="黑体"/>
              <w:smallCaps w:val="0"/>
              <w:color w:val="000000" w:themeColor="text1"/>
              <w:szCs w:val="24"/>
              <w:highlight w:val="none"/>
              <w14:textFill>
                <w14:solidFill>
                  <w14:schemeClr w14:val="tx1"/>
                </w14:solidFill>
              </w14:textFill>
            </w:rPr>
            <w:instrText xml:space="preserve"> PAGEREF _Toc4644 \h </w:instrTex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separate"/>
          </w:r>
          <w:r>
            <w:rPr>
              <w:rFonts w:hint="eastAsia" w:ascii="Times New Roman" w:hAnsi="Times New Roman" w:eastAsia="黑体" w:cs="黑体"/>
              <w:smallCaps w:val="0"/>
              <w:color w:val="000000" w:themeColor="text1"/>
              <w:szCs w:val="24"/>
              <w:highlight w:val="none"/>
              <w14:textFill>
                <w14:solidFill>
                  <w14:schemeClr w14:val="tx1"/>
                </w14:solidFill>
              </w14:textFill>
            </w:rPr>
            <w:t>87</w:t>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r>
            <w:rPr>
              <w:rFonts w:hint="eastAsia" w:ascii="Times New Roman" w:hAnsi="Times New Roman" w:eastAsia="黑体" w:cs="黑体"/>
              <w:smallCaps w:val="0"/>
              <w:color w:val="000000" w:themeColor="text1"/>
              <w:szCs w:val="24"/>
              <w:highlight w:val="none"/>
              <w14:textFill>
                <w14:solidFill>
                  <w14:schemeClr w14:val="tx1"/>
                </w14:solidFill>
              </w14:textFill>
            </w:rPr>
            <w:fldChar w:fldCharType="end"/>
          </w:r>
        </w:p>
        <w:p w14:paraId="75305D10">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_Toc6047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第一节 加强党的全面领导</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_Toc6047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2616156D">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_Toc9551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第二节 发动社会各界支持</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_Toc9551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CE24DDD">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_Toc12042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第三节 健全统一规划体系</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_Toc12042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87</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02B18EF">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_Toc4583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第四节 完善规划实施机制</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_Toc4583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19A48E44">
          <w:pPr>
            <w:pStyle w:val="15"/>
            <w:tabs>
              <w:tab w:val="right" w:leader="dot" w:pos="8845"/>
            </w:tabs>
            <w:rPr>
              <w:rFonts w:hint="eastAsia" w:ascii="Times New Roman" w:hAnsi="Times New Roman" w:eastAsia="楷体" w:cs="楷体"/>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_Toc24534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第五节 强化</w:t>
          </w:r>
          <w:r>
            <w:rPr>
              <w:rFonts w:hint="eastAsia" w:ascii="Times New Roman" w:hAnsi="Times New Roman" w:eastAsia="楷体" w:cs="楷体"/>
              <w:smallCaps w:val="0"/>
              <w:highlight w:val="none"/>
              <w:lang w:val="en-US" w:eastAsia="zh-CN"/>
            </w:rPr>
            <w:t>规划</w:t>
          </w:r>
          <w:r>
            <w:rPr>
              <w:rFonts w:hint="eastAsia" w:ascii="Times New Roman" w:hAnsi="Times New Roman" w:eastAsia="楷体" w:cs="楷体"/>
              <w:smallCaps w:val="0"/>
              <w:highlight w:val="none"/>
            </w:rPr>
            <w:t>要素保障</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_Toc24534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4FC8BF71">
          <w:pPr>
            <w:pStyle w:val="15"/>
            <w:tabs>
              <w:tab w:val="right" w:leader="dot" w:pos="8845"/>
            </w:tabs>
            <w:rPr>
              <w:rFonts w:ascii="Times New Roman" w:hAnsi="Times New Roman"/>
              <w:smallCaps w:val="0"/>
            </w:rPr>
          </w:pP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begin"/>
          </w:r>
          <w:r>
            <w:rPr>
              <w:rFonts w:hint="eastAsia" w:ascii="Times New Roman" w:hAnsi="Times New Roman" w:eastAsia="楷体" w:cs="楷体"/>
              <w:smallCaps w:val="0"/>
              <w:szCs w:val="24"/>
              <w:highlight w:val="none"/>
            </w:rPr>
            <w:instrText xml:space="preserve"> HYPERLINK \l _Toc28262 </w:instrText>
          </w:r>
          <w:r>
            <w:rPr>
              <w:rFonts w:hint="eastAsia" w:ascii="Times New Roman" w:hAnsi="Times New Roman" w:eastAsia="楷体" w:cs="楷体"/>
              <w:smallCaps w:val="0"/>
              <w:szCs w:val="24"/>
              <w:highlight w:val="none"/>
            </w:rPr>
            <w:fldChar w:fldCharType="separate"/>
          </w:r>
          <w:r>
            <w:rPr>
              <w:rFonts w:hint="eastAsia" w:ascii="Times New Roman" w:hAnsi="Times New Roman" w:eastAsia="楷体" w:cs="楷体"/>
              <w:smallCaps w:val="0"/>
              <w:highlight w:val="none"/>
            </w:rPr>
            <w:t>第六节 加强规划监测评估</w:t>
          </w:r>
          <w:r>
            <w:rPr>
              <w:rFonts w:hint="eastAsia" w:ascii="Times New Roman" w:hAnsi="Times New Roman" w:eastAsia="楷体" w:cs="楷体"/>
              <w:smallCaps w:val="0"/>
            </w:rPr>
            <w:tab/>
          </w:r>
          <w:r>
            <w:rPr>
              <w:rFonts w:hint="eastAsia" w:ascii="Times New Roman" w:hAnsi="Times New Roman" w:eastAsia="楷体" w:cs="楷体"/>
              <w:smallCaps w:val="0"/>
            </w:rPr>
            <w:fldChar w:fldCharType="begin"/>
          </w:r>
          <w:r>
            <w:rPr>
              <w:rFonts w:hint="eastAsia" w:ascii="Times New Roman" w:hAnsi="Times New Roman" w:eastAsia="楷体" w:cs="楷体"/>
              <w:smallCaps w:val="0"/>
            </w:rPr>
            <w:instrText xml:space="preserve"> PAGEREF _Toc28262 \h </w:instrText>
          </w:r>
          <w:r>
            <w:rPr>
              <w:rFonts w:hint="eastAsia" w:ascii="Times New Roman" w:hAnsi="Times New Roman" w:eastAsia="楷体" w:cs="楷体"/>
              <w:smallCaps w:val="0"/>
            </w:rPr>
            <w:fldChar w:fldCharType="separate"/>
          </w:r>
          <w:r>
            <w:rPr>
              <w:rFonts w:hint="eastAsia" w:ascii="Times New Roman" w:hAnsi="Times New Roman" w:eastAsia="楷体" w:cs="楷体"/>
              <w:smallCaps w:val="0"/>
            </w:rPr>
            <w:t>88</w:t>
          </w:r>
          <w:r>
            <w:rPr>
              <w:rFonts w:hint="eastAsia" w:ascii="Times New Roman" w:hAnsi="Times New Roman" w:eastAsia="楷体" w:cs="楷体"/>
              <w:smallCaps w:val="0"/>
            </w:rPr>
            <w:fldChar w:fldCharType="end"/>
          </w:r>
          <w:r>
            <w:rPr>
              <w:rFonts w:hint="eastAsia" w:ascii="Times New Roman" w:hAnsi="Times New Roman" w:eastAsia="楷体" w:cs="楷体"/>
              <w:smallCaps w:val="0"/>
              <w:color w:val="000000" w:themeColor="text1"/>
              <w:szCs w:val="24"/>
              <w:highlight w:val="none"/>
              <w14:textFill>
                <w14:solidFill>
                  <w14:schemeClr w14:val="tx1"/>
                </w14:solidFill>
              </w14:textFill>
            </w:rPr>
            <w:fldChar w:fldCharType="end"/>
          </w:r>
        </w:p>
        <w:p w14:paraId="6256F7E5">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szCs w:val="24"/>
              <w:highlight w:val="none"/>
              <w14:textFill>
                <w14:solidFill>
                  <w14:schemeClr w14:val="tx1"/>
                </w14:solidFill>
              </w14:textFill>
            </w:rPr>
            <w:fldChar w:fldCharType="end"/>
          </w:r>
        </w:p>
      </w:sdtContent>
    </w:sdt>
    <w:p w14:paraId="41CE17D9">
      <w:pPr>
        <w:rPr>
          <w:rFonts w:ascii="Times New Roman" w:hAnsi="Times New Roman"/>
          <w:smallCaps w:val="0"/>
          <w:color w:val="000000" w:themeColor="text1"/>
          <w:highlight w:val="none"/>
          <w14:textFill>
            <w14:solidFill>
              <w14:schemeClr w14:val="tx1"/>
            </w14:solidFill>
          </w14:textFill>
        </w:rPr>
      </w:pPr>
    </w:p>
    <w:p w14:paraId="5F4F9320">
      <w:pPr>
        <w:pStyle w:val="4"/>
        <w:ind w:firstLine="600"/>
        <w:rPr>
          <w:rFonts w:ascii="Times New Roman" w:hAnsi="Times New Roman"/>
          <w:smallCaps w:val="0"/>
          <w:color w:val="000000" w:themeColor="text1"/>
          <w:highlight w:val="none"/>
          <w14:textFill>
            <w14:solidFill>
              <w14:schemeClr w14:val="tx1"/>
            </w14:solidFill>
          </w14:textFill>
        </w:rPr>
      </w:pPr>
    </w:p>
    <w:p w14:paraId="236A71DA">
      <w:pPr>
        <w:adjustRightInd w:val="0"/>
        <w:snapToGrid w:val="0"/>
        <w:ind w:firstLine="640"/>
        <w:rPr>
          <w:rFonts w:ascii="Times New Roman" w:hAnsi="Times New Roman" w:eastAsia="仿宋_GB2312" w:cs="仿宋_GB2312"/>
          <w:smallCaps w:val="0"/>
          <w:color w:val="000000" w:themeColor="text1"/>
          <w:highlight w:val="none"/>
          <w14:textFill>
            <w14:solidFill>
              <w14:schemeClr w14:val="tx1"/>
            </w14:solidFill>
          </w14:textFill>
        </w:rPr>
        <w:sectPr>
          <w:footerReference r:id="rId8"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8E769F0">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公主岭市国民经济和社会发展第十五个五年（2026—2030年）规划，根据《中共公主岭市委关于制定公主岭市国民经济和社会发展第十五个五年规划的建议》编制，主要阐明市委战略意图，明确政府工作重点，引导规范市场主体行为，是全市全面推动实施“1369”高质量发展战略，筑牢全省县域发展排头兵位置，</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冲击</w:t>
      </w:r>
      <w:r>
        <w:rPr>
          <w:rFonts w:hint="eastAsia" w:ascii="Times New Roman" w:hAnsi="Times New Roman" w:cs="仿宋"/>
          <w:smallCaps w:val="0"/>
          <w:color w:val="000000" w:themeColor="text1"/>
          <w:sz w:val="32"/>
          <w:szCs w:val="32"/>
          <w:highlight w:val="none"/>
          <w14:textFill>
            <w14:solidFill>
              <w14:schemeClr w14:val="tx1"/>
            </w14:solidFill>
          </w14:textFill>
        </w:rPr>
        <w:t>全国百强县奋斗目标的共同行动纲领。</w:t>
      </w:r>
    </w:p>
    <w:p w14:paraId="6DB96285">
      <w:pPr>
        <w:pStyle w:val="4"/>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smallCaps w:val="0"/>
        </w:rPr>
      </w:pPr>
    </w:p>
    <w:p w14:paraId="405AE7C5">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sz w:val="32"/>
          <w:szCs w:val="32"/>
          <w:highlight w:val="none"/>
          <w14:textFill>
            <w14:solidFill>
              <w14:schemeClr w14:val="tx1"/>
            </w14:solidFill>
          </w14:textFill>
        </w:rPr>
      </w:pPr>
      <w:bookmarkStart w:id="4" w:name="_Toc3240"/>
      <w:bookmarkStart w:id="5" w:name="_Toc22185"/>
      <w:bookmarkStart w:id="6" w:name="_Toc10505"/>
      <w:bookmarkStart w:id="7" w:name="_Toc10940"/>
      <w:bookmarkStart w:id="8" w:name="_Toc19147"/>
      <w:bookmarkStart w:id="9" w:name="_Toc2218"/>
      <w:bookmarkStart w:id="10" w:name="_Toc24127"/>
      <w:r>
        <w:rPr>
          <w:rFonts w:hint="eastAsia" w:ascii="Times New Roman" w:hAnsi="Times New Roman"/>
          <w:smallCaps w:val="0"/>
          <w:color w:val="000000" w:themeColor="text1"/>
          <w:sz w:val="32"/>
          <w:szCs w:val="32"/>
          <w:highlight w:val="none"/>
          <w14:textFill>
            <w14:solidFill>
              <w14:schemeClr w14:val="tx1"/>
            </w14:solidFill>
          </w14:textFill>
        </w:rPr>
        <w:t>第一章  当好县域发展排头兵，开启强县建设新征程</w:t>
      </w:r>
      <w:bookmarkEnd w:id="4"/>
      <w:bookmarkEnd w:id="5"/>
      <w:bookmarkEnd w:id="6"/>
      <w:bookmarkEnd w:id="7"/>
      <w:bookmarkEnd w:id="8"/>
      <w:bookmarkEnd w:id="9"/>
      <w:bookmarkEnd w:id="10"/>
    </w:p>
    <w:p w14:paraId="4D7182D3">
      <w:pPr>
        <w:pStyle w:val="3"/>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smallCaps w:val="0"/>
        </w:rPr>
      </w:pPr>
    </w:p>
    <w:p w14:paraId="303D460C">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十四五”时期是公主岭市发展进程中极不平凡的五年，全市上下在以习近平同志为核心的党中央坚强领导下，高举习近平新时代中国特色社会主义思想伟大旗帜，深入贯彻习近平总书记关于东北振兴和吉林工作的重要讲话重要指示精神，全面落实吉林省委、省政府和长春市委、市政府各项部署安排，积极应对复杂多变的外部环境，确立了“1369”高质量发展战略，实现了经济社会发展稳中有进，站稳了吉林省县域经济排头兵位置，为“十五五”时期开启现代化强县新征程奠定了坚实基础。</w:t>
      </w:r>
    </w:p>
    <w:p w14:paraId="29488EAA">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sz w:val="32"/>
          <w:szCs w:val="32"/>
          <w:highlight w:val="none"/>
          <w14:textFill>
            <w14:solidFill>
              <w14:schemeClr w14:val="tx1"/>
            </w14:solidFill>
          </w14:textFill>
        </w:rPr>
      </w:pPr>
      <w:bookmarkStart w:id="11" w:name="_Toc1903"/>
      <w:bookmarkStart w:id="12" w:name="_Toc26076"/>
      <w:bookmarkStart w:id="13" w:name="_Toc682"/>
      <w:bookmarkStart w:id="14" w:name="_Toc18251"/>
      <w:bookmarkStart w:id="15" w:name="_Toc23919"/>
      <w:r>
        <w:rPr>
          <w:rFonts w:hint="eastAsia" w:ascii="Times New Roman" w:hAnsi="Times New Roman"/>
          <w:smallCaps w:val="0"/>
          <w:color w:val="000000" w:themeColor="text1"/>
          <w:sz w:val="32"/>
          <w:szCs w:val="32"/>
          <w:highlight w:val="none"/>
          <w14:textFill>
            <w14:solidFill>
              <w14:schemeClr w14:val="tx1"/>
            </w14:solidFill>
          </w14:textFill>
        </w:rPr>
        <w:t>第一节 发展基础</w:t>
      </w:r>
      <w:bookmarkEnd w:id="11"/>
      <w:bookmarkEnd w:id="12"/>
      <w:bookmarkEnd w:id="13"/>
      <w:bookmarkEnd w:id="14"/>
      <w:bookmarkEnd w:id="15"/>
    </w:p>
    <w:p w14:paraId="2C587AA7">
      <w:pPr>
        <w:keepNext w:val="0"/>
        <w:keepLines w:val="0"/>
        <w:pageBreakBefore w:val="0"/>
        <w:widowControl w:val="0"/>
        <w:kinsoku/>
        <w:wordWrap/>
        <w:overflowPunct/>
        <w:topLinePunct w:val="0"/>
        <w:autoSpaceDE/>
        <w:autoSpaceDN/>
        <w:bidi w:val="0"/>
        <w:adjustRightInd/>
        <w:snapToGrid/>
        <w:spacing w:line="576" w:lineRule="exact"/>
        <w:ind w:firstLine="643"/>
        <w:jc w:val="both"/>
        <w:textAlignment w:val="auto"/>
        <w:outlineLvl w:val="1"/>
        <w:rPr>
          <w:rFonts w:ascii="Times New Roman" w:hAnsi="Times New Roman" w:cs="仿宋"/>
          <w:b/>
          <w:bCs/>
          <w:smallCaps w:val="0"/>
          <w:color w:val="000000" w:themeColor="text1"/>
          <w:sz w:val="32"/>
          <w:szCs w:val="32"/>
          <w:highlight w:val="none"/>
          <w14:textFill>
            <w14:solidFill>
              <w14:schemeClr w14:val="tx1"/>
            </w14:solidFill>
          </w14:textFill>
        </w:rPr>
      </w:pPr>
      <w:bookmarkStart w:id="16" w:name="_Toc6578"/>
      <w:bookmarkStart w:id="17" w:name="_Toc7156"/>
      <w:bookmarkStart w:id="18" w:name="_Toc32156"/>
      <w:bookmarkStart w:id="19" w:name="_Toc32684"/>
      <w:r>
        <w:rPr>
          <w:rFonts w:hint="eastAsia" w:ascii="Times New Roman" w:hAnsi="Times New Roman" w:cs="仿宋"/>
          <w:b/>
          <w:bCs/>
          <w:smallCaps w:val="0"/>
          <w:color w:val="000000" w:themeColor="text1"/>
          <w:sz w:val="32"/>
          <w:szCs w:val="32"/>
          <w:highlight w:val="none"/>
          <w14:textFill>
            <w14:solidFill>
              <w14:schemeClr w14:val="tx1"/>
            </w14:solidFill>
          </w14:textFill>
        </w:rPr>
        <w:t>一、发展成就</w:t>
      </w:r>
      <w:bookmarkEnd w:id="16"/>
      <w:bookmarkEnd w:id="17"/>
      <w:bookmarkEnd w:id="18"/>
      <w:bookmarkEnd w:id="19"/>
    </w:p>
    <w:p w14:paraId="556CF19E">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经济实力显著提升。</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十四五”时期，公主岭市有效应对世纪疫情冲击和经济下行压力，经济运行稳中提质，地区生产总值历史性突破500亿元大关，年均增长5.7%，增速显著高于全省平均水平。产业结构实现战略性优化，呈现“三二一”标志性转变。农业发展基础持续巩固，累计建成高标准农田250.24万亩，粮食产量稳步提升，稳居全国前列。工业转型升级步伐加快，汽车</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及</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零部件产业实现产值84.4亿元</w:t>
      </w:r>
      <w:r>
        <w:rPr>
          <w:rFonts w:hint="eastAsia" w:ascii="Times New Roman" w:hAnsi="Times New Roman" w:cs="仿宋"/>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农产品加工产业实现产值73.7亿元。种业创新优势不断巩固，种子年生产经营量超过1.4亿斤，成为辐射东北三省一区的种子生产交易集散中心。平台载体建设取得重大突破，长春国家农业高新技术产业示范区获批建设，</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长春</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大岭</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经济</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开发区成功创建省级现代服务业集聚区。现代物流产业集聚成势，申通、韵达等7家头部物流区域中心建成运营，范家屯智慧物流园区品牌效应凸显，区域性物流枢纽地位持续增强。县域综合实力跃居全省首位。</w:t>
      </w:r>
    </w:p>
    <w:p w14:paraId="448F692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改革开放纵深推进。</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重点改革落地见效，贯彻落实</w:t>
      </w:r>
      <w:r>
        <w:rPr>
          <w:rFonts w:hint="eastAsia" w:ascii="Times New Roman" w:hAnsi="Times New Roman" w:cs="仿宋"/>
          <w:b w:val="0"/>
          <w:bCs w:val="0"/>
          <w:smallCaps w:val="0"/>
          <w:color w:val="000000" w:themeColor="text1"/>
          <w:sz w:val="32"/>
          <w:szCs w:val="32"/>
          <w:highlight w:val="none"/>
          <w:lang w:val="zh-CN" w:eastAsia="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高效办成一件事</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改革，落地国家、省、市</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一件事</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62个，同时推出公主岭特色一件事</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服务农资经营</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一件事，在吉事办平台线上运行。打造</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前台综合受理、后台分类审批、统一窗口出件</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政务服务模式，线上线下</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无差别</w:t>
      </w:r>
      <w:r>
        <w:rPr>
          <w:rFonts w:hint="eastAsia" w:ascii="Times New Roman" w:hAnsi="Times New Roman" w:cs="仿宋"/>
          <w:b w:val="0"/>
          <w:bCs w:val="0"/>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受理事项1716项</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证照分离”改革深入推进，市场准入门槛和制度性交易成本进一步降低，市场主体活力有效激发。国资国企改革稳步实施，国有企业重组整合步伐加快。工程建设项目审批制度改革不断深化，8类项目62项审批事项实现从立项到竣工验收“全程网办”。公共资源交易全面推行远程异地评标，施工类项目实行“双盲”评审。营商环境持续优化，创新实施涉企检查“双报备”制度，</w:t>
      </w:r>
      <w:r>
        <w:rPr>
          <w:rFonts w:hint="eastAsia" w:ascii="Times New Roman" w:hAnsi="Times New Roman" w:eastAsia="仿宋" w:cs="仿宋"/>
          <w:b w:val="0"/>
          <w:bCs w:val="0"/>
          <w:smallCaps w:val="0"/>
          <w:color w:val="000000" w:themeColor="text1"/>
          <w:sz w:val="32"/>
          <w:szCs w:val="32"/>
          <w:highlight w:val="none"/>
          <w:lang w:val="zh-CN" w:eastAsia="zh-CN"/>
          <w14:textFill>
            <w14:solidFill>
              <w14:schemeClr w14:val="tx1"/>
            </w14:solidFill>
          </w14:textFill>
        </w:rPr>
        <w:t>2025年入企</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检查总次数同比下降40.44%，营商环境投诉举报问题办结率和满意度均达到100%。公主岭市城市综合信用指数在全国排名第</w:t>
      </w:r>
      <w:r>
        <w:rPr>
          <w:rFonts w:hint="eastAsia" w:ascii="Times New Roman" w:hAnsi="Times New Roman" w:eastAsia="仿宋" w:cs="仿宋"/>
          <w:b w:val="0"/>
          <w:bCs w:val="0"/>
          <w:smallCaps w:val="0"/>
          <w:color w:val="000000" w:themeColor="text1"/>
          <w:sz w:val="32"/>
          <w:szCs w:val="32"/>
          <w:highlight w:val="none"/>
          <w:lang w:val="zh-CN" w:eastAsia="zh-CN"/>
          <w14:textFill>
            <w14:solidFill>
              <w14:schemeClr w14:val="tx1"/>
            </w14:solidFill>
          </w14:textFill>
        </w:rPr>
        <w:t>19</w:t>
      </w:r>
      <w:r>
        <w:rPr>
          <w:rFonts w:hint="eastAsia" w:ascii="Times New Roman" w:hAnsi="Times New Roman" w:eastAsia="仿宋" w:cs="仿宋"/>
          <w:b w:val="0"/>
          <w:bCs w:val="0"/>
          <w:smallCaps w:val="0"/>
          <w:color w:val="000000" w:themeColor="text1"/>
          <w:sz w:val="32"/>
          <w:szCs w:val="32"/>
          <w:highlight w:val="none"/>
          <w:lang w:val="zh-CN"/>
          <w14:textFill>
            <w14:solidFill>
              <w14:schemeClr w14:val="tx1"/>
            </w14:solidFill>
          </w14:textFill>
        </w:rPr>
        <w:t>位。</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积极融入国家和省市开放发展大局，“十四五”期间累计引进国内资金743亿元，实际利用外资0.2亿美元。</w:t>
      </w:r>
    </w:p>
    <w:p w14:paraId="2E4F23A4">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lang w:val="zh-CN"/>
          <w14:textFill>
            <w14:solidFill>
              <w14:schemeClr w14:val="tx1"/>
            </w14:solidFill>
          </w14:textFill>
        </w:rPr>
        <w:t>城乡发展更加协调。</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国家新型城镇化试点稳步推进，城市常住人口规模提升至50万人。范家屯镇跻身2025年全国镇域经济500强。老旧小区、棚户区及金融街等重点改造项目加快实施，累计完成127个老旧小区（地块）改造</w:t>
      </w:r>
      <w:r>
        <w:rPr>
          <w:rFonts w:hint="eastAsia" w:ascii="Times New Roman" w:hAnsi="Times New Roman" w:cs="仿宋"/>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城市基础设施体系持续完善，交通、供水、供电、供气等设施保障能力进一步增强</w:t>
      </w:r>
      <w:r>
        <w:rPr>
          <w:rFonts w:hint="eastAsia" w:ascii="Times New Roman" w:hAnsi="Times New Roman" w:cs="仿宋"/>
          <w:smallCaps w:val="0"/>
          <w:color w:val="000000" w:themeColor="text1"/>
          <w:sz w:val="32"/>
          <w:szCs w:val="32"/>
          <w:highlight w:val="none"/>
          <w:lang w:val="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新增城市绿地12.02公顷，绿化覆盖率提高至21.78%，污水处理率、污泥处置率和生活垃圾无害化处理率均达到100%。乡村建设行动全面推进，24个乡镇国土空间规划全部编制完成，404个行政村实现规划管控全覆盖。乡村振兴步伐加快，“和美乡村智慧管理平台”投入应用，实现人居环境问题智能识别、信息推送和整改跟踪闭环管理。多措并举促进农民增收，村集体经济持续壮大，“万企兴万村”行动深入实施，庭院经济、以工代赈及衔接资金项目有序推进。农村居民人均可支配收入由18842元增至21663元，增速高于同期地区生产总值年均增速。城市基础设施和公共服务加快向农村延伸，县域经济发展韧性和协调性进一步增强。</w:t>
      </w:r>
    </w:p>
    <w:p w14:paraId="34C5D0C1">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pPr>
      <w:r>
        <w:rPr>
          <w:rFonts w:hint="eastAsia" w:ascii="Times New Roman" w:hAnsi="Times New Roman" w:cs="仿宋"/>
          <w:b/>
          <w:bCs/>
          <w:smallCaps w:val="0"/>
          <w:color w:val="000000" w:themeColor="text1"/>
          <w:sz w:val="32"/>
          <w:szCs w:val="32"/>
          <w:highlight w:val="none"/>
          <w:lang w:val="zh-CN"/>
          <w14:textFill>
            <w14:solidFill>
              <w14:schemeClr w14:val="tx1"/>
            </w14:solidFill>
          </w14:textFill>
        </w:rPr>
        <w:t>生态环境质量持续改善。</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水环境质量持续改善，东辽河城子上断面、周家河口断面和卡伦水库水源地水质稳定达到Ⅲ类。新凯河公主岭市断面自2022年完成消Ⅴ劣任务以来，平均水质提升至Ⅳ类，优于国家考核目标一个类别。空气质量稳步向好，2024年优良天数达313天，优良比率85.5%，较“十三五”末提高2个百分点；PM2.5年均浓度降至35微克/立方米，达到国家二级标准。农村人居环境整治扎实推进，完成124个行政村生活污水治理，治理率达30.7%。国家、省清单内4处黑臭水体全面完成治理。</w:t>
      </w:r>
      <w:r>
        <w:rPr>
          <w:rFonts w:hint="eastAsia" w:ascii="Times New Roman" w:hAnsi="Times New Roman" w:cs="仿宋"/>
          <w:smallCaps w:val="0"/>
          <w:color w:val="000000" w:themeColor="text1"/>
          <w:highlight w:val="none"/>
          <w14:textFill>
            <w14:solidFill>
              <w14:schemeClr w14:val="tx1"/>
            </w14:solidFill>
          </w14:textFill>
        </w:rPr>
        <w:t>全市无受污染耕地，</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重点建设用地安全利用率稳定达到100%。</w:t>
      </w:r>
    </w:p>
    <w:p w14:paraId="592C882F">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pPr>
      <w:r>
        <w:rPr>
          <w:rFonts w:hint="eastAsia" w:ascii="Times New Roman" w:hAnsi="Times New Roman" w:cs="仿宋"/>
          <w:b/>
          <w:bCs/>
          <w:smallCaps w:val="0"/>
          <w:color w:val="000000" w:themeColor="text1"/>
          <w:sz w:val="32"/>
          <w:szCs w:val="32"/>
          <w:highlight w:val="none"/>
          <w:lang w:val="zh-CN"/>
          <w14:textFill>
            <w14:solidFill>
              <w14:schemeClr w14:val="tx1"/>
            </w14:solidFill>
          </w14:textFill>
        </w:rPr>
        <w:t>民生福祉达到新水平。</w:t>
      </w:r>
      <w:r>
        <w:rPr>
          <w:rFonts w:hint="eastAsia" w:ascii="Times New Roman" w:hAnsi="Times New Roman" w:eastAsia="仿宋" w:cs="仿宋"/>
          <w:smallCaps w:val="0"/>
          <w:color w:val="000000" w:themeColor="text1"/>
          <w:sz w:val="32"/>
          <w:szCs w:val="32"/>
          <w:highlight w:val="none"/>
          <w:lang w:val="zh-CN"/>
          <w14:textFill>
            <w14:solidFill>
              <w14:schemeClr w14:val="tx1"/>
            </w14:solidFill>
          </w14:textFill>
        </w:rPr>
        <w:t>“走遍公主岭”行动扎实推进，一批群众反映强烈的急难愁盼问题得到有效化解。公共就业服务体系持续完善，人力资源市场建设稳步推进，“事编企用”招聘机制顺利实施，就业困难人员、农村转移劳动力等重点群体就业得到有力保障，高校毕业生等重点群体就业创业支持体系不断健全，成功创建省级农技工基地1个、省级劳务品牌1个、省级家政服务职业培训基地1个，累计新增城镇就业29400人。义务教育优质均衡发展水平持续提升，新建和改扩建学校7所，新增学位11730个，中小学集团化办学实现全覆盖。医疗卫生服务能力显著增强，市中心医院与吉林大学中日联谊医院合作共建“吉林大学中日联谊医院公主岭医院”，市域内二级以上公立医院与长春市多家医院建立医联体关系，完成3个医共体框架构建，新建桑树台、玻璃城子和龙山3个救助分站。“一老一小”服务供给持续优化，社区居家养老服务模式稳步推广，建成具备长期托养、老年助餐、文体活动等综合功能的养老服务中心5处，新增公办幼儿园学位1440个，残疾儿童康复救助实现全覆盖，依法取缔非法养老场所6家、无证幼儿园78所。分层分类社会救助体系不断完善，养老保险政策全面落实，失业保险和工伤保险费率分别降至基准费率的50%和80%，农村低收入人口和脱贫人口基本医保参保率达到99.5%。根治欠薪工作成效明显，欠薪线索数、涉及人数和欠薪金额同比分别下降5%、8%和10%。安置优抚政策全面落实，双拥共建工作持续深化。公共文化服务网络更加健全，建成村级综合性文化活动中心404个、农村文化大院404个、社区文化活动室25处、农村文化广场404处，实现城乡全覆盖。</w:t>
      </w:r>
    </w:p>
    <w:p w14:paraId="4C10B4C9">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社会治理精准有效。</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法治政府建设实现突破，公主岭市成功创建第三批全国法治政府建设示范市，全省首家农业知识产权司法保护工作站落户长春国家农高区。治理效能显著提升，突发公共事件和安全生产事故起数较</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十</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四</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五</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时期明显下降，三级综治中心实现实体化运行全覆盖。矛盾纠纷多元化解机制不断完善，化解率达到96.5%，扫黑除恶斗争常态化推进，社会治安持续向好，刑事、治安案件同比分别下降37.9%和25.55%。防灾减灾救灾体系更加健全，</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“十四五”期间</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未发生重特大自然灾害。公共服务平台高效运转，群众满意度接近100%。全过程人民民主深入实践，协商民主机制持续优化，党建引领基层治理效能显著增强。妇女儿童、残疾人、老年人等群体权益得到有效保障，建成职工服务站50个，</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爱心妈妈</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结对帮扶机制不断完善。</w:t>
      </w:r>
    </w:p>
    <w:p w14:paraId="65B33765">
      <w:pPr>
        <w:keepNext w:val="0"/>
        <w:keepLines w:val="0"/>
        <w:pageBreakBefore w:val="0"/>
        <w:widowControl w:val="0"/>
        <w:kinsoku/>
        <w:wordWrap/>
        <w:overflowPunct/>
        <w:topLinePunct w:val="0"/>
        <w:autoSpaceDE/>
        <w:autoSpaceDN/>
        <w:bidi w:val="0"/>
        <w:adjustRightInd/>
        <w:snapToGrid/>
        <w:spacing w:line="576" w:lineRule="exact"/>
        <w:ind w:firstLine="643"/>
        <w:jc w:val="both"/>
        <w:textAlignment w:val="auto"/>
        <w:outlineLvl w:val="1"/>
        <w:rPr>
          <w:rFonts w:ascii="Times New Roman" w:hAnsi="Times New Roman" w:cs="仿宋"/>
          <w:b/>
          <w:bCs/>
          <w:smallCaps w:val="0"/>
          <w:color w:val="000000" w:themeColor="text1"/>
          <w:sz w:val="32"/>
          <w:szCs w:val="32"/>
          <w:highlight w:val="none"/>
          <w14:textFill>
            <w14:solidFill>
              <w14:schemeClr w14:val="tx1"/>
            </w14:solidFill>
          </w14:textFill>
        </w:rPr>
      </w:pPr>
      <w:bookmarkStart w:id="20" w:name="_Toc30152"/>
      <w:bookmarkStart w:id="21" w:name="_Toc18782"/>
      <w:bookmarkStart w:id="22" w:name="_Toc23822"/>
      <w:bookmarkStart w:id="23" w:name="_Toc10936"/>
      <w:r>
        <w:rPr>
          <w:rFonts w:hint="eastAsia" w:ascii="Times New Roman" w:hAnsi="Times New Roman" w:cs="仿宋"/>
          <w:b/>
          <w:bCs/>
          <w:smallCaps w:val="0"/>
          <w:color w:val="000000" w:themeColor="text1"/>
          <w:sz w:val="32"/>
          <w:szCs w:val="32"/>
          <w:highlight w:val="none"/>
          <w14:textFill>
            <w14:solidFill>
              <w14:schemeClr w14:val="tx1"/>
            </w14:solidFill>
          </w14:textFill>
        </w:rPr>
        <w:t>二、发展环境</w:t>
      </w:r>
      <w:bookmarkEnd w:id="20"/>
      <w:bookmarkEnd w:id="21"/>
      <w:bookmarkEnd w:id="22"/>
      <w:bookmarkEnd w:id="23"/>
    </w:p>
    <w:p w14:paraId="3325D1F8">
      <w:pPr>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“十五五”时期是基本实现社会主义现代化</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夯实基础、全面发力</w:t>
      </w:r>
      <w:r>
        <w:rPr>
          <w:rFonts w:hint="eastAsia" w:ascii="Times New Roman" w:hAnsi="Times New Roman" w:cs="仿宋"/>
          <w:smallCaps w:val="0"/>
          <w:color w:val="000000" w:themeColor="text1"/>
          <w:sz w:val="32"/>
          <w:szCs w:val="32"/>
          <w:highlight w:val="none"/>
          <w14:textFill>
            <w14:solidFill>
              <w14:schemeClr w14:val="tx1"/>
            </w14:solidFill>
          </w14:textFill>
        </w:rPr>
        <w:t>的关键时期，是吉林省</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实现</w:t>
      </w:r>
      <w:r>
        <w:rPr>
          <w:rFonts w:hint="eastAsia" w:ascii="Times New Roman" w:hAnsi="Times New Roman" w:cs="仿宋"/>
          <w:smallCaps w:val="0"/>
          <w:color w:val="000000" w:themeColor="text1"/>
          <w:sz w:val="32"/>
          <w:szCs w:val="32"/>
          <w:highlight w:val="none"/>
          <w14:textFill>
            <w14:solidFill>
              <w14:schemeClr w14:val="tx1"/>
            </w14:solidFill>
          </w14:textFill>
        </w:rPr>
        <w:t>高质量发展明显进位、全面振兴取得新突破</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的攻坚时期，</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是长春市</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进入转型升级的关键阶段和振兴发展的重要窗口期，</w:t>
      </w:r>
      <w:r>
        <w:rPr>
          <w:rFonts w:hint="eastAsia" w:ascii="Times New Roman" w:hAnsi="Times New Roman" w:cs="仿宋"/>
          <w:smallCaps w:val="0"/>
          <w:color w:val="000000" w:themeColor="text1"/>
          <w:sz w:val="32"/>
          <w:szCs w:val="32"/>
          <w:highlight w:val="none"/>
          <w14:textFill>
            <w14:solidFill>
              <w14:schemeClr w14:val="tx1"/>
            </w14:solidFill>
          </w14:textFill>
        </w:rPr>
        <w:t>对公主岭市而言，“十五五”时期是从投资驱动向创新驱动的转型关键期、从农业强县向工业强县的跃升关键期、从省域强县向全国强县的进位关键期、从</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共建</w:t>
      </w:r>
      <w:r>
        <w:rPr>
          <w:rFonts w:hint="eastAsia" w:ascii="Times New Roman" w:hAnsi="Times New Roman" w:cs="仿宋"/>
          <w:smallCaps w:val="0"/>
          <w:color w:val="000000" w:themeColor="text1"/>
          <w:sz w:val="32"/>
          <w:szCs w:val="32"/>
          <w:highlight w:val="none"/>
          <w14:textFill>
            <w14:solidFill>
              <w14:schemeClr w14:val="tx1"/>
            </w14:solidFill>
          </w14:textFill>
        </w:rPr>
        <w:t>长春都市圈向融入统一大市场的拓链关键期、从节点带动向全域提升的战略关键期。在这样的关键节点，要充分认识外部环境变化，</w:t>
      </w:r>
      <w:r>
        <w:rPr>
          <w:rFonts w:hint="default"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在</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共建长春现代化都市圈、冲击全国百强县等任务中</w:t>
      </w:r>
      <w:r>
        <w:rPr>
          <w:rFonts w:hint="default"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赢得战略主动，为</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全面建设社会主义现代化公主岭</w:t>
      </w:r>
      <w:r>
        <w:rPr>
          <w:rFonts w:hint="default"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奠定更加坚实的基础。</w:t>
      </w:r>
    </w:p>
    <w:p w14:paraId="1C37DAA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bookmarkStart w:id="24" w:name="_Toc10251"/>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国际国内环境深刻变化。</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从国际看，百年未有之大变局加速演进，国际格局深度调整，新一轮科技革命和产业变革蓬勃兴起，我国在国际竞争中仍具备主动塑造外部环境的积极条件。我国经济长期向好的基本面没有改变，制度优势显著、市场潜力巨大、产业体系完备、人才资源丰富，发展韧性持续增强。在党中央坚强领导和区域协调发展战略指引下，县域经济发展的确定性、稳定性进一步提升，长期向好预期更加稳固。</w:t>
      </w:r>
    </w:p>
    <w:p w14:paraId="77778F9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省内发展环境在变化中孕育新机。</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全面深化改革红利持续释放，以长春现代化都市圈为核心的区域发展新格局加快形成，教育、科技、人才与产业融合发展趋势更加明显，基础设施持续完善和营商环境不断优化，为经济社会发展注入新动力。长春市“一中心、五高地”建设扎实推进，“3转、4强、7新”现代化产业体系加速构建，发展新动能不断积聚。省、市发展战略调整持续带来新机遇、催生新业态，为公主岭“十五五”时期开启社会主义现代化强县建设提供有力支撑。</w:t>
      </w:r>
    </w:p>
    <w:p w14:paraId="7BCB7467">
      <w:pPr>
        <w:keepNext w:val="0"/>
        <w:keepLines w:val="0"/>
        <w:pageBreakBefore w:val="0"/>
        <w:widowControl w:val="0"/>
        <w:kinsoku/>
        <w:wordWrap/>
        <w:overflowPunct/>
        <w:topLinePunct w:val="0"/>
        <w:autoSpaceDE/>
        <w:autoSpaceDN/>
        <w:bidi w:val="0"/>
        <w:adjustRightInd/>
        <w:snapToGrid/>
        <w:spacing w:line="576" w:lineRule="exact"/>
        <w:ind w:firstLine="643"/>
        <w:jc w:val="both"/>
        <w:textAlignment w:val="auto"/>
        <w:outlineLvl w:val="1"/>
        <w:rPr>
          <w:rFonts w:ascii="Times New Roman" w:hAnsi="Times New Roman" w:cs="仿宋"/>
          <w:b/>
          <w:bCs/>
          <w:smallCaps w:val="0"/>
          <w:color w:val="000000" w:themeColor="text1"/>
          <w:sz w:val="32"/>
          <w:szCs w:val="32"/>
          <w:highlight w:val="none"/>
          <w14:textFill>
            <w14:solidFill>
              <w14:schemeClr w14:val="tx1"/>
            </w14:solidFill>
          </w14:textFill>
        </w:rPr>
      </w:pPr>
      <w:bookmarkStart w:id="25" w:name="_Toc2660"/>
      <w:bookmarkStart w:id="26" w:name="_Toc21602"/>
      <w:bookmarkStart w:id="27" w:name="_Toc5112"/>
      <w:r>
        <w:rPr>
          <w:rFonts w:hint="eastAsia" w:ascii="Times New Roman" w:hAnsi="Times New Roman" w:cs="仿宋"/>
          <w:b/>
          <w:bCs/>
          <w:smallCaps w:val="0"/>
          <w:color w:val="000000" w:themeColor="text1"/>
          <w:sz w:val="32"/>
          <w:szCs w:val="32"/>
          <w:highlight w:val="none"/>
          <w14:textFill>
            <w14:solidFill>
              <w14:schemeClr w14:val="tx1"/>
            </w14:solidFill>
          </w14:textFill>
        </w:rPr>
        <w:t>三、机遇挑战</w:t>
      </w:r>
      <w:bookmarkEnd w:id="24"/>
      <w:bookmarkEnd w:id="25"/>
      <w:bookmarkEnd w:id="26"/>
      <w:bookmarkEnd w:id="27"/>
    </w:p>
    <w:p w14:paraId="0B7B3B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楷体" w:cs="楷体"/>
          <w:smallCaps w:val="0"/>
          <w:color w:val="000000" w:themeColor="text1"/>
          <w:sz w:val="32"/>
          <w:szCs w:val="32"/>
          <w:highlight w:val="none"/>
          <w14:textFill>
            <w14:solidFill>
              <w14:schemeClr w14:val="tx1"/>
            </w14:solidFill>
          </w14:textFill>
        </w:rPr>
        <w:t>发展机遇</w:t>
      </w:r>
      <w:r>
        <w:rPr>
          <w:rFonts w:hint="eastAsia" w:ascii="Times New Roman" w:hAnsi="Times New Roman" w:eastAsia="楷体" w:cs="楷体"/>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国家层面：</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国家深入实施区域协调发展战略，全面推进城乡深度融合，着力推动县域高质量发展，加快建设现代化人民城市，并实施稳中有进的宏观调控政策，为公主岭“十五五”时期带来重要政策突破窗口。我市将全力抢抓国家、省级战略机遇，在先行先试中大胆创新，积极构建特色鲜明的区域发展外部环境，塑造具有辨识度的城市发展形象。</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全省层面：</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吉林省全力服务国家“五大安全”战略，着力构建长春现代化都市圈，因地制宜发展新质生产力，更好融入全国统一大市场，为我市“十五五”发展提供了系统性制度机遇。需立足产业基础和区位条件，面向县域和新质生产力发展需求，统筹推进招商引资与招才引智，积极对接长春市创新型城市和人才港建设，谋划落地一批新项目，加快培育一批增长新引擎。</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县域层面：</w:t>
      </w:r>
      <w:r>
        <w:rPr>
          <w:rFonts w:hint="eastAsia" w:ascii="Times New Roman" w:hAnsi="Times New Roman" w:eastAsia="仿宋" w:cs="仿宋"/>
          <w:smallCaps w:val="0"/>
          <w:color w:val="000000" w:themeColor="text1"/>
          <w:sz w:val="32"/>
          <w:szCs w:val="32"/>
          <w:highlight w:val="none"/>
          <w:lang w:val="en-US" w:eastAsia="zh-CN"/>
          <w14:textFill>
            <w14:solidFill>
              <w14:schemeClr w14:val="tx1"/>
            </w14:solidFill>
          </w14:textFill>
        </w:rPr>
        <w:t>长春</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国家农高区进入建设加速期，一批重大项目陆续建成达效，国家级品牌影响力持续释放，区域融合发展步入爆发期，为我市“十五五”发展带来要素集聚机遇。需紧密围绕平台发展、项目推进、品牌提升等方面的需求，强化服务支撑，积极探索新机制、新路径，努力形成一批可复制、可推广的县域经济发展“公主岭经验”。</w:t>
      </w:r>
    </w:p>
    <w:p w14:paraId="7AE1F1A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楷体" w:cs="楷体"/>
          <w:smallCaps w:val="0"/>
          <w:color w:val="000000" w:themeColor="text1"/>
          <w:sz w:val="32"/>
          <w:szCs w:val="32"/>
          <w:highlight w:val="none"/>
          <w14:textFill>
            <w14:solidFill>
              <w14:schemeClr w14:val="tx1"/>
            </w14:solidFill>
          </w14:textFill>
        </w:rPr>
        <w:t>重大挑战</w:t>
      </w:r>
      <w:r>
        <w:rPr>
          <w:rFonts w:hint="eastAsia" w:ascii="Times New Roman" w:hAnsi="Times New Roman" w:eastAsia="楷体" w:cs="楷体"/>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趋势性挑战：</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全球经济复苏缓慢，短期内难有强劲反弹</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国内及我省经济步入高质量发展阶段，更加注重内涵式增长和稳中求进，对全市经济带动作用趋缓。县域经济正处于新旧动能转换关键期，实现超常规发展面临较大内外压力。</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结构性挑战：</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经济总量在省内位居前列但全国排名仍待提升，产业结构偏传统、特色不突出，城乡发展差距依然明显，人口老龄化、生态基础脆弱、基础设施老化、村庄空心化、创新动能不足等问题相互交织，形成多重结构性压力。</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竞争性挑战：</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国际贸易保护主义抬头，外部市场竞争加剧</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国内各地转型升级步伐加快，区域竞争日趋激烈</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省内各县市深化改革、争抢政策资源，同级竞争持续升级。</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外部性挑战：</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气候变化与极端天气频发对农业生产构成威胁，招商引资与产业政策约束趋紧倒逼发展方式转型，主导产业同质化竞争仍将制约高质量发展进程。同时，科技创新与新质生产力加速催生新业态，可能进一步拉大县域发展差距，对全市经济持续跃升形成新的挑战。</w:t>
      </w:r>
    </w:p>
    <w:p w14:paraId="69C4E54B">
      <w:pPr>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十五五”时期，公主岭市外部环境的不确定难预料因素增多，重大机遇与重大挑战并存，外部性冲击和结构性矛盾并存，各种“黑天鹅”“灰犀牛”事件随时可能冲击公主岭市发展节奏。为此，必须增强机遇意识和风险意识，要凝聚市内外各种力量，勠力同心，努力在危机中育先机、于变局中开新局，推动全市在现代化强县之路上不断迈上新台阶。</w:t>
      </w:r>
    </w:p>
    <w:p w14:paraId="03BCF1C9">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sz w:val="32"/>
          <w:szCs w:val="32"/>
          <w:highlight w:val="none"/>
          <w14:textFill>
            <w14:solidFill>
              <w14:schemeClr w14:val="tx1"/>
            </w14:solidFill>
          </w14:textFill>
        </w:rPr>
      </w:pPr>
      <w:bookmarkStart w:id="28" w:name="_Toc11881"/>
      <w:bookmarkStart w:id="29" w:name="_Toc31230"/>
      <w:bookmarkStart w:id="30" w:name="_Toc26736"/>
      <w:bookmarkStart w:id="31" w:name="_Toc14201"/>
      <w:bookmarkStart w:id="32" w:name="_Toc27480"/>
      <w:bookmarkStart w:id="33" w:name="_Toc22610"/>
      <w:r>
        <w:rPr>
          <w:rFonts w:hint="eastAsia" w:ascii="Times New Roman" w:hAnsi="Times New Roman"/>
          <w:smallCaps w:val="0"/>
          <w:color w:val="000000" w:themeColor="text1"/>
          <w:sz w:val="32"/>
          <w:szCs w:val="32"/>
          <w:highlight w:val="none"/>
          <w14:textFill>
            <w14:solidFill>
              <w14:schemeClr w14:val="tx1"/>
            </w14:solidFill>
          </w14:textFill>
        </w:rPr>
        <w:t xml:space="preserve">第二节 </w:t>
      </w:r>
      <w:bookmarkEnd w:id="28"/>
      <w:r>
        <w:rPr>
          <w:rFonts w:hint="eastAsia" w:ascii="Times New Roman" w:hAnsi="Times New Roman"/>
          <w:smallCaps w:val="0"/>
          <w:color w:val="000000" w:themeColor="text1"/>
          <w:sz w:val="32"/>
          <w:szCs w:val="32"/>
          <w:highlight w:val="none"/>
          <w14:textFill>
            <w14:solidFill>
              <w14:schemeClr w14:val="tx1"/>
            </w14:solidFill>
          </w14:textFill>
        </w:rPr>
        <w:t>指导思想</w:t>
      </w:r>
      <w:bookmarkEnd w:id="29"/>
      <w:bookmarkEnd w:id="30"/>
      <w:bookmarkEnd w:id="31"/>
      <w:bookmarkEnd w:id="32"/>
      <w:bookmarkEnd w:id="33"/>
    </w:p>
    <w:p w14:paraId="7E34184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smallCaps w:val="0"/>
          <w:color w:val="000000" w:themeColor="text1"/>
          <w:sz w:val="32"/>
          <w:szCs w:val="32"/>
          <w:highlight w:val="none"/>
          <w14:textFill>
            <w14:solidFill>
              <w14:schemeClr w14:val="tx1"/>
            </w14:solidFill>
          </w14:textFill>
        </w:rPr>
        <w:t>坚持马克思列宁主义、毛泽东思想、邓小平理论、“三个代表”重要思想、科学发展观，全面贯彻习近平新时代中国特色社会主义思想，深入贯彻党的二十大和二十届历次全会精神，不折不扣贯彻落实习近平总书记关于东北全面振兴和吉林工作系列重要指示精神，统筹推进“五位一体”总体布局，协调推进“四个全面”战略布局，完整准确全面贯彻新发展理念，积极服务和融入新发展格局，坚持稳中求进工作总基调，坚持以经济建设为中心，以推动高质量发展为主题，以改革创新为根本动力，以满足人民日益增长的美好生活需要为根本目的，</w:t>
      </w:r>
      <w:r>
        <w:rPr>
          <w:rFonts w:hint="eastAsia" w:ascii="Times New Roman" w:hAnsi="Times New Roman" w:eastAsia="仿宋" w:cs="仿宋"/>
          <w:smallCaps w:val="0"/>
          <w:color w:val="000000" w:themeColor="text1"/>
          <w:sz w:val="32"/>
          <w:szCs w:val="32"/>
          <w:highlight w:val="none"/>
          <w:lang w:eastAsia="zh-CN"/>
          <w14:textFill>
            <w14:solidFill>
              <w14:schemeClr w14:val="tx1"/>
            </w14:solidFill>
          </w14:textFill>
        </w:rPr>
        <w:t>以全面从严治党为根本保障，</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坚决扛稳维护国家“五大安全”重要使命，坚定不移地实施“1369”高质量发展战略，以</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站稳全省县域排头兵、</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冲击全国百强县</w:t>
      </w:r>
      <w:r>
        <w:rPr>
          <w:rFonts w:hint="eastAsia" w:ascii="Times New Roman" w:hAnsi="Times New Roman" w:eastAsia="仿宋" w:cs="仿宋"/>
          <w:smallCaps w:val="0"/>
          <w:color w:val="000000" w:themeColor="text1"/>
          <w:sz w:val="32"/>
          <w:szCs w:val="32"/>
          <w:highlight w:val="none"/>
          <w:lang w:eastAsia="zh-CN"/>
          <w14:textFill>
            <w14:solidFill>
              <w14:schemeClr w14:val="tx1"/>
            </w14:solidFill>
          </w14:textFill>
        </w:rPr>
        <w:t>为发展</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目标，以</w:t>
      </w:r>
      <w:r>
        <w:rPr>
          <w:rFonts w:hint="eastAsia" w:ascii="Times New Roman" w:hAnsi="Times New Roman" w:eastAsia="仿宋" w:cs="仿宋"/>
          <w:smallCaps w:val="0"/>
          <w:color w:val="000000" w:themeColor="text1"/>
          <w:sz w:val="32"/>
          <w:szCs w:val="32"/>
          <w:highlight w:val="none"/>
          <w:lang w:eastAsia="zh-CN"/>
          <w14:textFill>
            <w14:solidFill>
              <w14:schemeClr w14:val="tx1"/>
            </w14:solidFill>
          </w14:textFill>
        </w:rPr>
        <w:t>高质量</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共建长春现代化都市圈为核心任务</w:t>
      </w:r>
      <w:r>
        <w:rPr>
          <w:rFonts w:hint="eastAsia" w:ascii="Times New Roman" w:hAnsi="Times New Roman" w:eastAsia="仿宋" w:cs="仿宋"/>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推动经济实现质的有效提升和量的合理增长，推动人的全面发展、全体人民共同富裕迈出坚实步伐，加快走出一条符合公主岭市实际、发挥综合优势、体现区域特色的振兴发展新路，推动公主岭市全面振兴取得新突破，为实现2035年发展目标奠定坚实基础，为吉林省和长春市经济社会发展探索公主岭经验、打造公主岭样板、做出公主岭贡献。</w:t>
      </w:r>
    </w:p>
    <w:p w14:paraId="6F2E1C3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“十五五”时期全市经济社会发展必须遵循的基本原则。</w:t>
      </w:r>
    </w:p>
    <w:p w14:paraId="11FB107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——坚持党的全面领导。</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坚决贯彻落实党中央及上级党委各项决策部署，不断提高把握新发展阶段、贯彻新发展理念、构建新发展格局的能力和水平，努力创造可复制、可推广的实践经验。深入践行新时代党的群众路线，健全改革激励机制和舆论引导机制，广泛凝聚社会共识，营造有利于高质量发展的良好氛围，汇聚推动经济社会发展的强大合力。</w:t>
      </w:r>
    </w:p>
    <w:p w14:paraId="455B60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——坚持人民至上。</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牢固树立以人民为中心的发展思想，尊重人民主体地位，维护人民根本利益，把增进民生福祉、促进人的全面发展作为一切工作的出发点和落脚点。着力破解发展不平衡不充分问题，推动现代化建设成果更多更公平惠及全体人民，持续增强人民群众的获得感、幸福感、安全感。</w:t>
      </w:r>
    </w:p>
    <w:p w14:paraId="0AB3CA2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——坚持高质量发展。</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科学把握全市发展阶段特征，清醒认识与全国平均发展水平的差距，精准研判人民群众急难愁盼问题，深刻认识发展质量、创新能力等方面的短板。统筹目标导向和问题导向，完整、准确、全面贯彻新发展理念，因地制宜发展新质生产力，聚力破解关键制约，推动经济发展实现质的有效提升和量的合理增长。</w:t>
      </w:r>
    </w:p>
    <w:p w14:paraId="51AC25D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——坚持全面深化改革。</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以钉钉子精神落实进一步全面深化改革各项部署，弘扬求真务实、敢作善为作风，强化上下协同、条块结合机制。统筹做好做优增量与盘活存量，协同推进扩大内需和深化开放，明确任务分工与责任主体，着力破解体制机制障碍和发展堵点，持续激发发展内生动力与活力。</w:t>
      </w:r>
    </w:p>
    <w:p w14:paraId="3BDC458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w:t>
      </w:r>
      <w:r>
        <w:rPr>
          <w:rFonts w:hint="eastAsia" w:ascii="Times New Roman" w:hAnsi="Times New Roman" w:cs="仿宋"/>
          <w:b/>
          <w:bCs/>
          <w:smallCaps w:val="0"/>
          <w:color w:val="000000" w:themeColor="text1"/>
          <w:sz w:val="32"/>
          <w:szCs w:val="32"/>
          <w:highlight w:val="none"/>
          <w:lang w:eastAsia="zh-CN"/>
          <w14:textFill>
            <w14:solidFill>
              <w14:schemeClr w14:val="tx1"/>
            </w14:solidFill>
          </w14:textFill>
        </w:rPr>
        <w:t>坚持有效市场和有为政府相结合</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充分发挥市场在资源配置中的决定性作用，更好发挥政府作用，加快建设统一开放、竞争有序的市场体系。全力打造市场化、法治化、国际化一流营商环境，探索形成基层治理“放得活、管得好”的新模式新机制。</w:t>
      </w:r>
    </w:p>
    <w:p w14:paraId="115DDC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——坚持统筹发展和安全。</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强化前瞻布局、系统谋划、战略统筹、整体推进，主动在服务全国全省大局、融入长春现代化都市圈建设中找准定位、彰显特色、塑造优势。统筹锻长板与补短板、提质量与增效益，在发展中筑牢安全基础，在安全中拓展发展空间，增强底线思维和风险防控能力，有效防范化解各类风险挑战，全面提升发展的规模、质量、韧性和可持续性。</w:t>
      </w:r>
    </w:p>
    <w:p w14:paraId="254D9AE4">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sz w:val="32"/>
          <w:szCs w:val="32"/>
          <w:highlight w:val="none"/>
          <w14:textFill>
            <w14:solidFill>
              <w14:schemeClr w14:val="tx1"/>
            </w14:solidFill>
          </w14:textFill>
        </w:rPr>
      </w:pPr>
      <w:bookmarkStart w:id="34" w:name="_Toc16447"/>
      <w:bookmarkStart w:id="35" w:name="_Toc25307"/>
      <w:bookmarkStart w:id="36" w:name="_Toc22737"/>
      <w:bookmarkStart w:id="37" w:name="_Toc3158"/>
      <w:bookmarkStart w:id="38" w:name="_Toc5288"/>
      <w:bookmarkStart w:id="39" w:name="_Toc32715"/>
      <w:bookmarkStart w:id="40" w:name="_Toc29320"/>
      <w:bookmarkStart w:id="41" w:name="_Toc26372"/>
      <w:bookmarkStart w:id="42" w:name="_Toc342556720_WPSOffice_Level2"/>
      <w:r>
        <w:rPr>
          <w:rFonts w:hint="eastAsia" w:ascii="Times New Roman" w:hAnsi="Times New Roman"/>
          <w:smallCaps w:val="0"/>
          <w:color w:val="000000" w:themeColor="text1"/>
          <w:sz w:val="32"/>
          <w:szCs w:val="32"/>
          <w:highlight w:val="none"/>
          <w14:textFill>
            <w14:solidFill>
              <w14:schemeClr w14:val="tx1"/>
            </w14:solidFill>
          </w14:textFill>
        </w:rPr>
        <w:t xml:space="preserve">第三节 </w:t>
      </w:r>
      <w:bookmarkEnd w:id="34"/>
      <w:bookmarkEnd w:id="35"/>
      <w:bookmarkEnd w:id="36"/>
      <w:bookmarkEnd w:id="37"/>
      <w:r>
        <w:rPr>
          <w:rFonts w:hint="eastAsia" w:ascii="Times New Roman" w:hAnsi="Times New Roman"/>
          <w:smallCaps w:val="0"/>
          <w:color w:val="000000" w:themeColor="text1"/>
          <w:sz w:val="32"/>
          <w:szCs w:val="32"/>
          <w:highlight w:val="none"/>
          <w14:textFill>
            <w14:solidFill>
              <w14:schemeClr w14:val="tx1"/>
            </w14:solidFill>
          </w14:textFill>
        </w:rPr>
        <w:t>发展战略</w:t>
      </w:r>
      <w:bookmarkEnd w:id="38"/>
      <w:bookmarkEnd w:id="39"/>
      <w:bookmarkEnd w:id="40"/>
      <w:bookmarkEnd w:id="41"/>
    </w:p>
    <w:p w14:paraId="1A2B99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smallCaps w:val="0"/>
          <w:color w:val="000000" w:themeColor="text1"/>
          <w:sz w:val="32"/>
          <w:szCs w:val="32"/>
          <w:highlight w:val="none"/>
          <w14:textFill>
            <w14:solidFill>
              <w14:schemeClr w14:val="tx1"/>
            </w14:solidFill>
          </w14:textFill>
        </w:rPr>
        <w:t>立足新时代新征程，把握新优势新条件，落实新战略新任务。坚定不移实施并纵深推进“1369”</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高质量</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发展战略，全面引领县域经济社会高质量发展，奋力实现县域综合实力全方位突破。</w:t>
      </w:r>
    </w:p>
    <w:p w14:paraId="109FF46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——1个目标导向</w:t>
      </w:r>
      <w:r>
        <w:rPr>
          <w:rFonts w:hint="eastAsia" w:ascii="Times New Roman" w:hAnsi="Times New Roman" w:eastAsia="仿宋" w:cs="仿宋"/>
          <w:b/>
          <w:bCs/>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锚定“</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站稳全省</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县域排头兵、冲击全国百强县”总体目标，到2030年地区生产总值突破700亿元。</w:t>
      </w:r>
    </w:p>
    <w:p w14:paraId="690F548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——3个</w:t>
      </w:r>
      <w:r>
        <w:rPr>
          <w:rFonts w:hint="eastAsia" w:ascii="Times New Roman" w:hAnsi="Times New Roman" w:cs="仿宋"/>
          <w:b/>
          <w:bCs/>
          <w:smallCaps w:val="0"/>
          <w:color w:val="000000" w:themeColor="text1"/>
          <w:sz w:val="32"/>
          <w:szCs w:val="32"/>
          <w:highlight w:val="none"/>
          <w:lang w:val="en-US" w:eastAsia="zh-CN"/>
          <w14:textFill>
            <w14:solidFill>
              <w14:schemeClr w14:val="tx1"/>
            </w14:solidFill>
          </w14:textFill>
        </w:rPr>
        <w:t>县域经济主战场</w:t>
      </w:r>
      <w:r>
        <w:rPr>
          <w:rFonts w:hint="eastAsia" w:ascii="Times New Roman" w:hAnsi="Times New Roman" w:eastAsia="仿宋" w:cs="仿宋"/>
          <w:b/>
          <w:bCs/>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lang w:val="en-US" w:eastAsia="zh-CN"/>
          <w14:textFill>
            <w14:solidFill>
              <w14:schemeClr w14:val="tx1"/>
            </w14:solidFill>
          </w14:textFill>
        </w:rPr>
        <w:t>即</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主城区、</w:t>
      </w:r>
      <w:r>
        <w:rPr>
          <w:rFonts w:hint="eastAsia" w:ascii="Times New Roman" w:hAnsi="Times New Roman" w:eastAsia="仿宋" w:cs="仿宋"/>
          <w:smallCaps w:val="0"/>
          <w:color w:val="000000" w:themeColor="text1"/>
          <w:sz w:val="32"/>
          <w:szCs w:val="32"/>
          <w:highlight w:val="none"/>
          <w:lang w:val="en-US" w:eastAsia="zh-CN"/>
          <w14:textFill>
            <w14:solidFill>
              <w14:schemeClr w14:val="tx1"/>
            </w14:solidFill>
          </w14:textFill>
        </w:rPr>
        <w:t>长春国家农高区</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、省级开发区三大经济发展主战场。</w:t>
      </w:r>
    </w:p>
    <w:p w14:paraId="3686ADB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——6</w:t>
      </w:r>
      <w:r>
        <w:rPr>
          <w:rFonts w:hint="eastAsia" w:ascii="Times New Roman" w:hAnsi="Times New Roman" w:cs="仿宋"/>
          <w:b/>
          <w:bCs/>
          <w:smallCaps w:val="0"/>
          <w:color w:val="000000" w:themeColor="text1"/>
          <w:sz w:val="32"/>
          <w:szCs w:val="32"/>
          <w:highlight w:val="none"/>
          <w:lang w:val="en-US" w:eastAsia="zh-CN"/>
          <w14:textFill>
            <w14:solidFill>
              <w14:schemeClr w14:val="tx1"/>
            </w14:solidFill>
          </w14:textFill>
        </w:rPr>
        <w:t>大</w:t>
      </w: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产业</w:t>
      </w:r>
      <w:r>
        <w:rPr>
          <w:rFonts w:hint="eastAsia" w:ascii="Times New Roman" w:hAnsi="Times New Roman" w:eastAsia="仿宋" w:cs="仿宋"/>
          <w:b/>
          <w:bCs/>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推动农产品精深加工、汽车及零部件、现代物流三大产业提质增效，推动现代种业、现代农业服务、现代文旅三大产业增量升级。</w:t>
      </w:r>
    </w:p>
    <w:p w14:paraId="1FB791A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——9大工程</w:t>
      </w:r>
      <w:r>
        <w:rPr>
          <w:rFonts w:hint="eastAsia" w:ascii="Times New Roman" w:hAnsi="Times New Roman" w:eastAsia="仿宋" w:cs="仿宋"/>
          <w:b/>
          <w:bCs/>
          <w:small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深入实施项目建设与招商引资、粮食安全保障、城镇基础设施提升、乡村面貌改善、幸福岭城建设、城乡居民增收、营商环境优化、科技创新能力提升、要素支撑保障九大工程。</w:t>
      </w:r>
    </w:p>
    <w:p w14:paraId="328ED1DF">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eastAsia" w:ascii="Times New Roman" w:hAnsi="Times New Roman"/>
          <w:smallCaps w:val="0"/>
          <w:color w:val="000000" w:themeColor="text1"/>
          <w:sz w:val="32"/>
          <w:szCs w:val="32"/>
          <w:highlight w:val="none"/>
          <w14:textFill>
            <w14:solidFill>
              <w14:schemeClr w14:val="tx1"/>
            </w14:solidFill>
          </w14:textFill>
        </w:rPr>
      </w:pPr>
      <w:bookmarkStart w:id="43" w:name="_Toc18934"/>
      <w:bookmarkStart w:id="44" w:name="_Toc17437"/>
      <w:bookmarkStart w:id="45" w:name="_Toc19486"/>
      <w:bookmarkStart w:id="46" w:name="_Toc2532"/>
      <w:bookmarkStart w:id="47" w:name="_Toc18102"/>
      <w:bookmarkStart w:id="48" w:name="_Toc1285"/>
      <w:bookmarkStart w:id="49" w:name="_Toc1461"/>
      <w:bookmarkStart w:id="50" w:name="_Toc12088"/>
    </w:p>
    <w:p w14:paraId="2F5C085F">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sz w:val="32"/>
          <w:szCs w:val="32"/>
          <w:highlight w:val="none"/>
          <w14:textFill>
            <w14:solidFill>
              <w14:schemeClr w14:val="tx1"/>
            </w14:solidFill>
          </w14:textFill>
        </w:rPr>
      </w:pPr>
      <w:r>
        <w:rPr>
          <w:rFonts w:hint="eastAsia" w:ascii="Times New Roman" w:hAnsi="Times New Roman"/>
          <w:smallCaps w:val="0"/>
          <w:color w:val="000000" w:themeColor="text1"/>
          <w:sz w:val="32"/>
          <w:szCs w:val="32"/>
          <w:highlight w:val="none"/>
          <w14:textFill>
            <w14:solidFill>
              <w14:schemeClr w14:val="tx1"/>
            </w14:solidFill>
          </w14:textFill>
        </w:rPr>
        <w:t>第四节 发展目标</w:t>
      </w:r>
      <w:bookmarkEnd w:id="43"/>
      <w:bookmarkEnd w:id="44"/>
      <w:bookmarkEnd w:id="45"/>
      <w:bookmarkEnd w:id="46"/>
      <w:bookmarkEnd w:id="47"/>
      <w:bookmarkEnd w:id="48"/>
      <w:bookmarkEnd w:id="49"/>
      <w:bookmarkEnd w:id="50"/>
    </w:p>
    <w:p w14:paraId="0D9270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smallCaps w:val="0"/>
          <w:color w:val="000000" w:themeColor="text1"/>
          <w:sz w:val="32"/>
          <w:szCs w:val="32"/>
          <w:highlight w:val="none"/>
          <w14:textFill>
            <w14:solidFill>
              <w14:schemeClr w14:val="tx1"/>
            </w14:solidFill>
          </w14:textFill>
        </w:rPr>
        <w:t>锚定2035年基本实现社会主义现代化的远景目标，立足全市发展基础，锚定“</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站稳全省</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县域排头兵、冲击全国百强县”总体目标，推进县域高质量发展取得重大突破，为全省县域发展作出示范。</w:t>
      </w:r>
    </w:p>
    <w:p w14:paraId="1D21661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——高质量发展成效显著。</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经济总量持续扩大，结构不断优化，非农产业和城镇人口比重稳步提升。重大项目陆续投产达效，发展基础更加坚实，创新动能加速集聚，内生增长动力显著增强。城乡区域协调发展水平明显提高，三大经济主战场成为长春现代化都市圈特色鲜明的节点区域，县域综合实力</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位居</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全省</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前列</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w:t>
      </w:r>
    </w:p>
    <w:p w14:paraId="72C4649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——重点改革纵深推进。</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高质量完成国家、省、长春市部署的各项县域改革任务，民营经济竞争力持续增强，国有经济活力有效激发，要素市场化配置改革取得实质性进展。市场化、法治化、国际化营商环境更加完善，融入国内国际双循环的能力显著提升，市场主体参与国内外合作竞争的水平不断提高，形成以新发展理念引领县域高质量发展的特色实践。</w:t>
      </w:r>
    </w:p>
    <w:p w14:paraId="157BAB4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——社会文明程度稳步提高。</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社会主义核心价值观深入人心，融入社会发展各方面。主流思想舆论巩固壮大，城市文化特质更加鲜明，现代公共文化服务体系健全完善，历史文化遗产保护传承与创新利用水平持续提升，文化创新创造活力不断迸发，人民群众精神文化生活日益丰富，志愿服务体系更加健全，文明城市创建展现新风貌。</w:t>
      </w:r>
    </w:p>
    <w:p w14:paraId="0E7DC6C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——人民生活品质持续改善。</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实现更加充分更高质量就业，居民收入增长与经济增长基本同步，收入分配格局不断优化。教育、医疗、养老、妇女儿童等社会事业全面发展，基本公共服务均等化水平稳步提升，多层次社会保障体系更加健全，基础设施支撑能力显著增强，现代化人民城市建设取得新成效，人民群众获得感、幸福感、安全感切实增强。</w:t>
      </w:r>
    </w:p>
    <w:p w14:paraId="4450E4B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——绿色发展形态加快形成。</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国土空间布局持续优化，“两山”转化通道有效拓宽，绿色生产生活方式基本建立，清洁低碳、安全高效的新型能源体系初步构建，能源资源利用效率明显提升，主要污染物排放总量持续下降，“无废城市”建设取得积极进展，城乡人居环境更加优美，生态文明理念深入人心。</w:t>
      </w:r>
    </w:p>
    <w:p w14:paraId="52929B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sz w:val="32"/>
          <w:szCs w:val="32"/>
          <w:highlight w:val="none"/>
          <w14:textFill>
            <w14:solidFill>
              <w14:schemeClr w14:val="tx1"/>
            </w14:solidFill>
          </w14:textFill>
        </w:rPr>
        <w:t>——治理效能系统提升。</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发展和安全统筹有力，维护国家“五大安全”能力显著增强。治理体系和治理能力现代化水平持续提高，精细化治理能力全面加强，防范化解重大风险</w:t>
      </w:r>
      <w:bookmarkStart w:id="405" w:name="_GoBack"/>
      <w:bookmarkEnd w:id="405"/>
      <w:r>
        <w:rPr>
          <w:rFonts w:hint="eastAsia" w:ascii="Times New Roman" w:hAnsi="Times New Roman" w:eastAsia="仿宋" w:cs="仿宋"/>
          <w:smallCaps w:val="0"/>
          <w:color w:val="000000" w:themeColor="text1"/>
          <w:sz w:val="32"/>
          <w:szCs w:val="32"/>
          <w:highlight w:val="none"/>
          <w14:textFill>
            <w14:solidFill>
              <w14:schemeClr w14:val="tx1"/>
            </w14:solidFill>
          </w14:textFill>
        </w:rPr>
        <w:t>机制更加完善，突发公共事件应急处置能力稳步提升，自然灾害防御水平持续</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提升</w:t>
      </w:r>
      <w:r>
        <w:rPr>
          <w:rFonts w:hint="eastAsia" w:ascii="Times New Roman" w:hAnsi="Times New Roman" w:eastAsia="仿宋" w:cs="仿宋"/>
          <w:smallCaps w:val="0"/>
          <w:color w:val="000000" w:themeColor="text1"/>
          <w:sz w:val="32"/>
          <w:szCs w:val="32"/>
          <w:highlight w:val="none"/>
          <w14:textFill>
            <w14:solidFill>
              <w14:schemeClr w14:val="tx1"/>
            </w14:solidFill>
          </w14:textFill>
        </w:rPr>
        <w:t>，基层党组织建设不断强化，法治公主岭、平安公主岭建设实现新突破，基层治理能力显著提高。</w:t>
      </w:r>
    </w:p>
    <w:p w14:paraId="6BE75F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 w:cs="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smallCaps w:val="0"/>
          <w:color w:val="000000" w:themeColor="text1"/>
          <w:sz w:val="32"/>
          <w:szCs w:val="32"/>
          <w:highlight w:val="none"/>
          <w14:textFill>
            <w14:solidFill>
              <w14:schemeClr w14:val="tx1"/>
            </w14:solidFill>
          </w14:textFill>
        </w:rPr>
        <w:t>在此基础上继续奋斗五年，到2035年，全市经济实力、创新动能、民生福祉、绿色低碳水平和治理效能实现系统性跃升，长春现代化都市圈节点城市的支撑功能显著增强，在全省县域高质量发展中的引领作用更加凸显，与全国、全省和长春市同步基本实现社会主义现代化。</w:t>
      </w:r>
    </w:p>
    <w:p w14:paraId="72B09F6A">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围绕经济社会发展主要目标，“十五五”规划在经济发展、创新驱动、绿色低碳、民生福祉和安全保障</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共</w:t>
      </w:r>
      <w:r>
        <w:rPr>
          <w:rFonts w:hint="eastAsia" w:ascii="Times New Roman" w:hAnsi="Times New Roman" w:cs="仿宋"/>
          <w:smallCaps w:val="0"/>
          <w:color w:val="000000" w:themeColor="text1"/>
          <w:sz w:val="32"/>
          <w:szCs w:val="32"/>
          <w:highlight w:val="none"/>
          <w14:textFill>
            <w14:solidFill>
              <w14:schemeClr w14:val="tx1"/>
            </w14:solidFill>
          </w14:textFill>
        </w:rPr>
        <w:t>设置</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19</w:t>
      </w:r>
      <w:r>
        <w:rPr>
          <w:rFonts w:hint="eastAsia" w:ascii="Times New Roman" w:hAnsi="Times New Roman" w:cs="仿宋"/>
          <w:smallCaps w:val="0"/>
          <w:color w:val="000000" w:themeColor="text1"/>
          <w:sz w:val="32"/>
          <w:szCs w:val="32"/>
          <w:highlight w:val="none"/>
          <w14:textFill>
            <w14:solidFill>
              <w14:schemeClr w14:val="tx1"/>
            </w14:solidFill>
          </w14:textFill>
        </w:rPr>
        <w:t>项指标。</w:t>
      </w:r>
    </w:p>
    <w:bookmarkEnd w:id="42"/>
    <w:p w14:paraId="51B790F4">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Times New Roman" w:hAnsi="Times New Roman" w:eastAsia="黑体" w:cs="黑体"/>
          <w:smallCaps w:val="0"/>
          <w:color w:val="000000"/>
          <w:highlight w:val="none"/>
        </w:rPr>
      </w:pPr>
      <w:bookmarkStart w:id="51" w:name="_Toc10324"/>
      <w:bookmarkStart w:id="52" w:name="_Toc8186"/>
      <w:bookmarkStart w:id="53" w:name="_Toc9832"/>
      <w:bookmarkStart w:id="54" w:name="_Toc17866"/>
      <w:r>
        <w:rPr>
          <w:rFonts w:hint="eastAsia" w:ascii="Times New Roman" w:hAnsi="Times New Roman" w:eastAsia="黑体" w:cs="黑体"/>
          <w:smallCaps w:val="0"/>
          <w:color w:val="000000"/>
          <w:highlight w:val="none"/>
          <w:lang w:val="en-US" w:eastAsia="zh-CN"/>
        </w:rPr>
        <w:t xml:space="preserve">专栏1 </w:t>
      </w:r>
      <w:r>
        <w:rPr>
          <w:rFonts w:hint="eastAsia" w:ascii="Times New Roman" w:hAnsi="Times New Roman" w:eastAsia="黑体" w:cs="黑体"/>
          <w:smallCaps w:val="0"/>
          <w:color w:val="000000"/>
          <w:highlight w:val="none"/>
        </w:rPr>
        <w:t>“十五五”时期经济社会发展主要指标</w:t>
      </w:r>
      <w:bookmarkEnd w:id="51"/>
    </w:p>
    <w:tbl>
      <w:tblPr>
        <w:tblStyle w:val="17"/>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90"/>
        <w:gridCol w:w="1944"/>
        <w:gridCol w:w="32"/>
        <w:gridCol w:w="2164"/>
        <w:gridCol w:w="960"/>
        <w:gridCol w:w="960"/>
        <w:gridCol w:w="1530"/>
        <w:gridCol w:w="1024"/>
      </w:tblGrid>
      <w:tr w14:paraId="00FA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7"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11CAF169">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类别</w:t>
            </w:r>
          </w:p>
        </w:tc>
        <w:tc>
          <w:tcPr>
            <w:tcW w:w="690"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5C95C70C">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序号</w:t>
            </w:r>
          </w:p>
        </w:tc>
        <w:tc>
          <w:tcPr>
            <w:tcW w:w="4140" w:type="dxa"/>
            <w:gridSpan w:val="3"/>
            <w:tcBorders>
              <w:top w:val="single" w:color="auto" w:sz="4" w:space="0"/>
              <w:left w:val="single" w:color="auto" w:sz="4" w:space="0"/>
              <w:bottom w:val="single" w:color="auto" w:sz="4" w:space="0"/>
              <w:right w:val="single" w:color="auto" w:sz="4" w:space="0"/>
            </w:tcBorders>
            <w:shd w:val="clear" w:color="auto" w:fill="D7D7D7"/>
            <w:noWrap/>
            <w:vAlign w:val="center"/>
          </w:tcPr>
          <w:p w14:paraId="461E78EB">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指标</w:t>
            </w:r>
          </w:p>
        </w:tc>
        <w:tc>
          <w:tcPr>
            <w:tcW w:w="960"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7DB73695">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2025年</w:t>
            </w:r>
          </w:p>
        </w:tc>
        <w:tc>
          <w:tcPr>
            <w:tcW w:w="960"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373ABE5B">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2030年</w:t>
            </w:r>
          </w:p>
        </w:tc>
        <w:tc>
          <w:tcPr>
            <w:tcW w:w="1530"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1BF9D9EB">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年均/累计</w:t>
            </w:r>
          </w:p>
        </w:tc>
        <w:tc>
          <w:tcPr>
            <w:tcW w:w="1024" w:type="dxa"/>
            <w:tcBorders>
              <w:top w:val="single" w:color="auto" w:sz="4" w:space="0"/>
              <w:left w:val="single" w:color="auto" w:sz="4" w:space="0"/>
              <w:bottom w:val="single" w:color="auto" w:sz="4" w:space="0"/>
              <w:right w:val="single" w:color="auto" w:sz="4" w:space="0"/>
            </w:tcBorders>
            <w:shd w:val="clear" w:color="auto" w:fill="D7D7D7"/>
            <w:noWrap/>
            <w:vAlign w:val="center"/>
          </w:tcPr>
          <w:p w14:paraId="0AAE252F">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黑体" w:cs="黑体"/>
                <w:b w:val="0"/>
                <w:bCs/>
                <w:smallCaps w:val="0"/>
                <w:color w:val="000000"/>
                <w:sz w:val="22"/>
                <w:szCs w:val="16"/>
                <w:highlight w:val="none"/>
              </w:rPr>
            </w:pPr>
            <w:r>
              <w:rPr>
                <w:rFonts w:hint="eastAsia" w:ascii="Times New Roman" w:hAnsi="Times New Roman" w:eastAsia="黑体" w:cs="黑体"/>
                <w:b w:val="0"/>
                <w:bCs/>
                <w:i w:val="0"/>
                <w:iCs w:val="0"/>
                <w:smallCaps w:val="0"/>
                <w:color w:val="000000"/>
                <w:kern w:val="0"/>
                <w:sz w:val="22"/>
                <w:szCs w:val="22"/>
                <w:u w:val="none"/>
                <w:lang w:val="en-US" w:eastAsia="zh-CN" w:bidi="ar"/>
              </w:rPr>
              <w:t>属性</w:t>
            </w:r>
          </w:p>
        </w:tc>
      </w:tr>
      <w:tr w14:paraId="6F65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restart"/>
            <w:tcBorders>
              <w:top w:val="single" w:color="auto" w:sz="4" w:space="0"/>
              <w:left w:val="single" w:color="auto" w:sz="4" w:space="0"/>
              <w:right w:val="single" w:color="auto" w:sz="4" w:space="0"/>
            </w:tcBorders>
            <w:noWrap/>
            <w:vAlign w:val="center"/>
          </w:tcPr>
          <w:p w14:paraId="379C8432">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仿宋"/>
                <w:smallCaps w:val="0"/>
                <w:color w:val="000000"/>
                <w:sz w:val="22"/>
                <w:szCs w:val="16"/>
                <w:highlight w:val="none"/>
              </w:rPr>
            </w:pPr>
            <w:r>
              <w:rPr>
                <w:rFonts w:hint="eastAsia" w:ascii="Times New Roman" w:hAnsi="Times New Roman" w:eastAsia="仿宋" w:cs="仿宋"/>
                <w:i w:val="0"/>
                <w:iCs w:val="0"/>
                <w:smallCaps w:val="0"/>
                <w:color w:val="000000"/>
                <w:kern w:val="0"/>
                <w:sz w:val="22"/>
                <w:szCs w:val="22"/>
                <w:u w:val="none"/>
                <w:lang w:val="en-US" w:eastAsia="zh-CN" w:bidi="ar"/>
              </w:rPr>
              <w:t>经济</w:t>
            </w:r>
            <w:r>
              <w:rPr>
                <w:rFonts w:hint="eastAsia" w:ascii="Times New Roman" w:hAnsi="Times New Roman" w:eastAsia="仿宋" w:cs="仿宋"/>
                <w:i w:val="0"/>
                <w:iCs w:val="0"/>
                <w:smallCaps w:val="0"/>
                <w:color w:val="000000"/>
                <w:kern w:val="0"/>
                <w:sz w:val="22"/>
                <w:szCs w:val="22"/>
                <w:u w:val="none"/>
                <w:lang w:val="en-US" w:eastAsia="zh-CN" w:bidi="ar"/>
              </w:rPr>
              <w:br w:type="textWrapping"/>
            </w:r>
            <w:r>
              <w:rPr>
                <w:rFonts w:hint="eastAsia" w:ascii="Times New Roman" w:hAnsi="Times New Roman" w:eastAsia="仿宋" w:cs="仿宋"/>
                <w:i w:val="0"/>
                <w:iCs w:val="0"/>
                <w:smallCaps w:val="0"/>
                <w:color w:val="000000"/>
                <w:kern w:val="0"/>
                <w:sz w:val="22"/>
                <w:szCs w:val="22"/>
                <w:u w:val="none"/>
                <w:lang w:val="en-US" w:eastAsia="zh-CN" w:bidi="ar"/>
              </w:rPr>
              <w:t>发展</w:t>
            </w:r>
          </w:p>
        </w:tc>
        <w:tc>
          <w:tcPr>
            <w:tcW w:w="690" w:type="dxa"/>
            <w:tcBorders>
              <w:top w:val="single" w:color="auto" w:sz="4" w:space="0"/>
              <w:left w:val="single" w:color="auto" w:sz="4" w:space="0"/>
              <w:bottom w:val="single" w:color="auto" w:sz="4" w:space="0"/>
              <w:right w:val="single" w:color="auto" w:sz="4" w:space="0"/>
            </w:tcBorders>
            <w:noWrap/>
            <w:vAlign w:val="center"/>
          </w:tcPr>
          <w:p w14:paraId="6B9B25C9">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72214208">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地区生产总值（GDP）增长（%）</w:t>
            </w:r>
          </w:p>
        </w:tc>
        <w:tc>
          <w:tcPr>
            <w:tcW w:w="960" w:type="dxa"/>
            <w:tcBorders>
              <w:top w:val="single" w:color="auto" w:sz="4" w:space="0"/>
              <w:left w:val="single" w:color="auto" w:sz="4" w:space="0"/>
              <w:bottom w:val="single" w:color="auto" w:sz="4" w:space="0"/>
              <w:right w:val="single" w:color="auto" w:sz="4" w:space="0"/>
            </w:tcBorders>
            <w:noWrap/>
            <w:vAlign w:val="center"/>
          </w:tcPr>
          <w:p w14:paraId="43A085D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7.3</w:t>
            </w:r>
          </w:p>
        </w:tc>
        <w:tc>
          <w:tcPr>
            <w:tcW w:w="960" w:type="dxa"/>
            <w:tcBorders>
              <w:top w:val="single" w:color="auto" w:sz="4" w:space="0"/>
              <w:left w:val="single" w:color="auto" w:sz="4" w:space="0"/>
              <w:bottom w:val="single" w:color="auto" w:sz="4" w:space="0"/>
              <w:right w:val="single" w:color="auto" w:sz="4" w:space="0"/>
            </w:tcBorders>
            <w:noWrap/>
            <w:vAlign w:val="center"/>
          </w:tcPr>
          <w:p w14:paraId="7297451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530" w:type="dxa"/>
            <w:tcBorders>
              <w:top w:val="single" w:color="auto" w:sz="4" w:space="0"/>
              <w:left w:val="single" w:color="auto" w:sz="4" w:space="0"/>
              <w:bottom w:val="single" w:color="auto" w:sz="4" w:space="0"/>
              <w:right w:val="single" w:color="auto" w:sz="4" w:space="0"/>
            </w:tcBorders>
            <w:noWrap/>
            <w:vAlign w:val="center"/>
          </w:tcPr>
          <w:p w14:paraId="04264B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6</w:t>
            </w:r>
            <w:r>
              <w:rPr>
                <w:rFonts w:hint="eastAsia" w:ascii="Times New Roman" w:hAnsi="Times New Roman" w:cs="仿宋"/>
                <w:i w:val="0"/>
                <w:iCs w:val="0"/>
                <w:smallCaps w:val="0"/>
                <w:color w:val="000000"/>
                <w:kern w:val="0"/>
                <w:sz w:val="22"/>
                <w:szCs w:val="22"/>
                <w:u w:val="none"/>
                <w:lang w:val="en-US" w:eastAsia="zh-CN" w:bidi="ar"/>
              </w:rPr>
              <w:t>左右</w:t>
            </w:r>
          </w:p>
        </w:tc>
        <w:tc>
          <w:tcPr>
            <w:tcW w:w="1024" w:type="dxa"/>
            <w:tcBorders>
              <w:top w:val="single" w:color="auto" w:sz="4" w:space="0"/>
              <w:left w:val="single" w:color="auto" w:sz="4" w:space="0"/>
              <w:bottom w:val="single" w:color="auto" w:sz="4" w:space="0"/>
              <w:right w:val="single" w:color="auto" w:sz="4" w:space="0"/>
            </w:tcBorders>
            <w:noWrap/>
            <w:vAlign w:val="center"/>
          </w:tcPr>
          <w:p w14:paraId="3EF98C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5236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13DDF82D">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5DFEA4A7">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2</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5B2A7267">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全员劳动生产率增长（%）</w:t>
            </w:r>
          </w:p>
        </w:tc>
        <w:tc>
          <w:tcPr>
            <w:tcW w:w="960" w:type="dxa"/>
            <w:tcBorders>
              <w:top w:val="single" w:color="auto" w:sz="4" w:space="0"/>
              <w:left w:val="single" w:color="auto" w:sz="4" w:space="0"/>
              <w:bottom w:val="single" w:color="auto" w:sz="4" w:space="0"/>
              <w:right w:val="single" w:color="auto" w:sz="4" w:space="0"/>
            </w:tcBorders>
            <w:noWrap/>
            <w:vAlign w:val="center"/>
          </w:tcPr>
          <w:p w14:paraId="18C9436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960" w:type="dxa"/>
            <w:tcBorders>
              <w:top w:val="single" w:color="auto" w:sz="4" w:space="0"/>
              <w:left w:val="single" w:color="auto" w:sz="4" w:space="0"/>
              <w:bottom w:val="single" w:color="auto" w:sz="4" w:space="0"/>
              <w:right w:val="single" w:color="auto" w:sz="4" w:space="0"/>
            </w:tcBorders>
            <w:noWrap/>
            <w:vAlign w:val="center"/>
          </w:tcPr>
          <w:p w14:paraId="564900AF">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530" w:type="dxa"/>
            <w:tcBorders>
              <w:top w:val="single" w:color="auto" w:sz="4" w:space="0"/>
              <w:left w:val="single" w:color="auto" w:sz="4" w:space="0"/>
              <w:bottom w:val="single" w:color="auto" w:sz="4" w:space="0"/>
              <w:right w:val="single" w:color="auto" w:sz="4" w:space="0"/>
            </w:tcBorders>
            <w:noWrap/>
            <w:vAlign w:val="center"/>
          </w:tcPr>
          <w:p w14:paraId="3242352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18"/>
                <w:szCs w:val="18"/>
                <w:u w:val="none"/>
                <w:lang w:val="en-US" w:eastAsia="zh-CN" w:bidi="ar"/>
              </w:rPr>
              <w:t>高于GDP增长</w:t>
            </w:r>
          </w:p>
        </w:tc>
        <w:tc>
          <w:tcPr>
            <w:tcW w:w="1024" w:type="dxa"/>
            <w:tcBorders>
              <w:top w:val="single" w:color="auto" w:sz="4" w:space="0"/>
              <w:left w:val="single" w:color="auto" w:sz="4" w:space="0"/>
              <w:bottom w:val="single" w:color="auto" w:sz="4" w:space="0"/>
              <w:right w:val="single" w:color="auto" w:sz="4" w:space="0"/>
            </w:tcBorders>
            <w:noWrap/>
            <w:vAlign w:val="center"/>
          </w:tcPr>
          <w:p w14:paraId="31E0078B">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635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1481070F">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49870396">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3</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534D9EA5">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常住人口城镇化率（%）</w:t>
            </w:r>
          </w:p>
        </w:tc>
        <w:tc>
          <w:tcPr>
            <w:tcW w:w="960" w:type="dxa"/>
            <w:tcBorders>
              <w:top w:val="single" w:color="auto" w:sz="4" w:space="0"/>
              <w:left w:val="single" w:color="auto" w:sz="4" w:space="0"/>
              <w:bottom w:val="single" w:color="auto" w:sz="4" w:space="0"/>
              <w:right w:val="single" w:color="auto" w:sz="4" w:space="0"/>
            </w:tcBorders>
            <w:noWrap/>
            <w:vAlign w:val="center"/>
          </w:tcPr>
          <w:p w14:paraId="55BAA5BA">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47.79</w:t>
            </w:r>
          </w:p>
        </w:tc>
        <w:tc>
          <w:tcPr>
            <w:tcW w:w="960" w:type="dxa"/>
            <w:tcBorders>
              <w:top w:val="single" w:color="auto" w:sz="4" w:space="0"/>
              <w:left w:val="single" w:color="auto" w:sz="4" w:space="0"/>
              <w:bottom w:val="single" w:color="auto" w:sz="4" w:space="0"/>
              <w:right w:val="single" w:color="auto" w:sz="4" w:space="0"/>
            </w:tcBorders>
            <w:noWrap/>
            <w:vAlign w:val="center"/>
          </w:tcPr>
          <w:p w14:paraId="01E34EA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53左右</w:t>
            </w:r>
          </w:p>
        </w:tc>
        <w:tc>
          <w:tcPr>
            <w:tcW w:w="1530" w:type="dxa"/>
            <w:tcBorders>
              <w:top w:val="single" w:color="auto" w:sz="4" w:space="0"/>
              <w:left w:val="single" w:color="auto" w:sz="4" w:space="0"/>
              <w:bottom w:val="single" w:color="auto" w:sz="4" w:space="0"/>
              <w:right w:val="single" w:color="auto" w:sz="4" w:space="0"/>
            </w:tcBorders>
            <w:noWrap/>
            <w:vAlign w:val="center"/>
          </w:tcPr>
          <w:p w14:paraId="5C05EF9F">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30E0743E">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7D78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restart"/>
            <w:tcBorders>
              <w:top w:val="single" w:color="auto" w:sz="4" w:space="0"/>
              <w:left w:val="single" w:color="auto" w:sz="4" w:space="0"/>
              <w:right w:val="single" w:color="auto" w:sz="4" w:space="0"/>
            </w:tcBorders>
            <w:noWrap/>
            <w:vAlign w:val="center"/>
          </w:tcPr>
          <w:p w14:paraId="5E8ADD85">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仿宋"/>
                <w:smallCaps w:val="0"/>
                <w:color w:val="000000"/>
                <w:sz w:val="22"/>
                <w:szCs w:val="16"/>
                <w:highlight w:val="none"/>
              </w:rPr>
            </w:pPr>
            <w:r>
              <w:rPr>
                <w:rFonts w:hint="eastAsia" w:ascii="Times New Roman" w:hAnsi="Times New Roman" w:eastAsia="仿宋" w:cs="仿宋"/>
                <w:i w:val="0"/>
                <w:iCs w:val="0"/>
                <w:smallCaps w:val="0"/>
                <w:color w:val="000000"/>
                <w:kern w:val="0"/>
                <w:sz w:val="22"/>
                <w:szCs w:val="22"/>
                <w:u w:val="none"/>
                <w:lang w:val="en-US" w:eastAsia="zh-CN" w:bidi="ar"/>
              </w:rPr>
              <w:t>创新</w:t>
            </w:r>
            <w:r>
              <w:rPr>
                <w:rFonts w:hint="eastAsia" w:ascii="Times New Roman" w:hAnsi="Times New Roman" w:eastAsia="仿宋" w:cs="仿宋"/>
                <w:i w:val="0"/>
                <w:iCs w:val="0"/>
                <w:smallCaps w:val="0"/>
                <w:color w:val="000000"/>
                <w:kern w:val="0"/>
                <w:sz w:val="22"/>
                <w:szCs w:val="22"/>
                <w:u w:val="none"/>
                <w:lang w:val="en-US" w:eastAsia="zh-CN" w:bidi="ar"/>
              </w:rPr>
              <w:br w:type="textWrapping"/>
            </w:r>
            <w:r>
              <w:rPr>
                <w:rFonts w:hint="eastAsia" w:ascii="Times New Roman" w:hAnsi="Times New Roman" w:eastAsia="仿宋" w:cs="仿宋"/>
                <w:i w:val="0"/>
                <w:iCs w:val="0"/>
                <w:smallCaps w:val="0"/>
                <w:color w:val="000000"/>
                <w:kern w:val="0"/>
                <w:sz w:val="22"/>
                <w:szCs w:val="22"/>
                <w:u w:val="none"/>
                <w:lang w:val="en-US" w:eastAsia="zh-CN" w:bidi="ar"/>
              </w:rPr>
              <w:t>驱动</w:t>
            </w:r>
          </w:p>
        </w:tc>
        <w:tc>
          <w:tcPr>
            <w:tcW w:w="690" w:type="dxa"/>
            <w:tcBorders>
              <w:top w:val="single" w:color="auto" w:sz="4" w:space="0"/>
              <w:left w:val="single" w:color="auto" w:sz="4" w:space="0"/>
              <w:bottom w:val="single" w:color="auto" w:sz="4" w:space="0"/>
              <w:right w:val="single" w:color="auto" w:sz="4" w:space="0"/>
            </w:tcBorders>
            <w:noWrap/>
            <w:vAlign w:val="center"/>
          </w:tcPr>
          <w:p w14:paraId="7DC29782">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4</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04A74BBA">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全社会研发经费投入增长（%）</w:t>
            </w:r>
          </w:p>
        </w:tc>
        <w:tc>
          <w:tcPr>
            <w:tcW w:w="960" w:type="dxa"/>
            <w:tcBorders>
              <w:top w:val="single" w:color="auto" w:sz="4" w:space="0"/>
              <w:left w:val="single" w:color="auto" w:sz="4" w:space="0"/>
              <w:bottom w:val="single" w:color="auto" w:sz="4" w:space="0"/>
              <w:right w:val="single" w:color="auto" w:sz="4" w:space="0"/>
            </w:tcBorders>
            <w:noWrap/>
            <w:vAlign w:val="center"/>
          </w:tcPr>
          <w:p w14:paraId="346E8E72">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960" w:type="dxa"/>
            <w:tcBorders>
              <w:top w:val="single" w:color="auto" w:sz="4" w:space="0"/>
              <w:left w:val="single" w:color="auto" w:sz="4" w:space="0"/>
              <w:bottom w:val="single" w:color="auto" w:sz="4" w:space="0"/>
              <w:right w:val="single" w:color="auto" w:sz="4" w:space="0"/>
            </w:tcBorders>
            <w:noWrap/>
            <w:vAlign w:val="center"/>
          </w:tcPr>
          <w:p w14:paraId="7F02B04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530" w:type="dxa"/>
            <w:tcBorders>
              <w:top w:val="single" w:color="auto" w:sz="4" w:space="0"/>
              <w:left w:val="single" w:color="auto" w:sz="4" w:space="0"/>
              <w:bottom w:val="single" w:color="auto" w:sz="4" w:space="0"/>
              <w:right w:val="single" w:color="auto" w:sz="4" w:space="0"/>
            </w:tcBorders>
            <w:noWrap/>
            <w:vAlign w:val="center"/>
          </w:tcPr>
          <w:p w14:paraId="160E625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5</w:t>
            </w:r>
          </w:p>
        </w:tc>
        <w:tc>
          <w:tcPr>
            <w:tcW w:w="1024" w:type="dxa"/>
            <w:tcBorders>
              <w:top w:val="single" w:color="auto" w:sz="4" w:space="0"/>
              <w:left w:val="single" w:color="auto" w:sz="4" w:space="0"/>
              <w:bottom w:val="single" w:color="auto" w:sz="4" w:space="0"/>
              <w:right w:val="single" w:color="auto" w:sz="4" w:space="0"/>
            </w:tcBorders>
            <w:noWrap/>
            <w:vAlign w:val="center"/>
          </w:tcPr>
          <w:p w14:paraId="23EEBD96">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4B1B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380036F6">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right w:val="single" w:color="auto" w:sz="4" w:space="0"/>
            </w:tcBorders>
            <w:noWrap/>
            <w:vAlign w:val="center"/>
          </w:tcPr>
          <w:p w14:paraId="6FB2EDA7">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5</w:t>
            </w:r>
          </w:p>
        </w:tc>
        <w:tc>
          <w:tcPr>
            <w:tcW w:w="4140" w:type="dxa"/>
            <w:gridSpan w:val="3"/>
            <w:tcBorders>
              <w:top w:val="single" w:color="auto" w:sz="4" w:space="0"/>
              <w:left w:val="single" w:color="auto" w:sz="4" w:space="0"/>
              <w:right w:val="single" w:color="auto" w:sz="4" w:space="0"/>
            </w:tcBorders>
            <w:noWrap/>
            <w:vAlign w:val="center"/>
          </w:tcPr>
          <w:p w14:paraId="3F3A2577">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每万人口高价值发明专利拥有量（件）</w:t>
            </w:r>
          </w:p>
        </w:tc>
        <w:tc>
          <w:tcPr>
            <w:tcW w:w="960" w:type="dxa"/>
            <w:tcBorders>
              <w:top w:val="single" w:color="auto" w:sz="4" w:space="0"/>
              <w:left w:val="single" w:color="auto" w:sz="4" w:space="0"/>
              <w:right w:val="single" w:color="auto" w:sz="4" w:space="0"/>
            </w:tcBorders>
            <w:noWrap/>
            <w:vAlign w:val="center"/>
          </w:tcPr>
          <w:p w14:paraId="13312EF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0.47</w:t>
            </w:r>
          </w:p>
        </w:tc>
        <w:tc>
          <w:tcPr>
            <w:tcW w:w="960" w:type="dxa"/>
            <w:tcBorders>
              <w:top w:val="single" w:color="auto" w:sz="4" w:space="0"/>
              <w:left w:val="single" w:color="auto" w:sz="4" w:space="0"/>
              <w:right w:val="single" w:color="auto" w:sz="4" w:space="0"/>
            </w:tcBorders>
            <w:noWrap/>
            <w:vAlign w:val="center"/>
          </w:tcPr>
          <w:p w14:paraId="09BB593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0.</w:t>
            </w:r>
            <w:r>
              <w:rPr>
                <w:rFonts w:hint="eastAsia" w:ascii="Times New Roman" w:hAnsi="Times New Roman" w:cs="仿宋"/>
                <w:i w:val="0"/>
                <w:iCs w:val="0"/>
                <w:smallCaps w:val="0"/>
                <w:color w:val="000000"/>
                <w:kern w:val="0"/>
                <w:sz w:val="22"/>
                <w:szCs w:val="22"/>
                <w:u w:val="none"/>
                <w:lang w:val="en-US" w:eastAsia="zh-CN" w:bidi="ar"/>
              </w:rPr>
              <w:t>52</w:t>
            </w:r>
          </w:p>
        </w:tc>
        <w:tc>
          <w:tcPr>
            <w:tcW w:w="1530" w:type="dxa"/>
            <w:tcBorders>
              <w:top w:val="single" w:color="auto" w:sz="4" w:space="0"/>
              <w:left w:val="single" w:color="auto" w:sz="4" w:space="0"/>
              <w:right w:val="single" w:color="auto" w:sz="4" w:space="0"/>
            </w:tcBorders>
            <w:noWrap/>
            <w:vAlign w:val="center"/>
          </w:tcPr>
          <w:p w14:paraId="6F51931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2CD8DE1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1546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687" w:type="dxa"/>
            <w:vMerge w:val="continue"/>
            <w:tcBorders>
              <w:left w:val="single" w:color="auto" w:sz="4" w:space="0"/>
              <w:bottom w:val="single" w:color="auto" w:sz="4" w:space="0"/>
              <w:right w:val="single" w:color="auto" w:sz="4" w:space="0"/>
            </w:tcBorders>
            <w:noWrap/>
            <w:vAlign w:val="center"/>
          </w:tcPr>
          <w:p w14:paraId="42E73191">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right w:val="single" w:color="auto" w:sz="4" w:space="0"/>
            </w:tcBorders>
            <w:noWrap/>
            <w:vAlign w:val="center"/>
          </w:tcPr>
          <w:p w14:paraId="49BE11BD">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6</w:t>
            </w:r>
          </w:p>
        </w:tc>
        <w:tc>
          <w:tcPr>
            <w:tcW w:w="4140" w:type="dxa"/>
            <w:gridSpan w:val="3"/>
            <w:tcBorders>
              <w:top w:val="single" w:color="auto" w:sz="4" w:space="0"/>
              <w:left w:val="single" w:color="auto" w:sz="4" w:space="0"/>
              <w:right w:val="single" w:color="auto" w:sz="4" w:space="0"/>
            </w:tcBorders>
            <w:noWrap/>
            <w:vAlign w:val="center"/>
          </w:tcPr>
          <w:p w14:paraId="439CF0F7">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数字经济核心产业增加值占GDP比重（%）</w:t>
            </w:r>
          </w:p>
        </w:tc>
        <w:tc>
          <w:tcPr>
            <w:tcW w:w="960" w:type="dxa"/>
            <w:tcBorders>
              <w:top w:val="single" w:color="auto" w:sz="4" w:space="0"/>
              <w:left w:val="single" w:color="auto" w:sz="4" w:space="0"/>
              <w:right w:val="single" w:color="auto" w:sz="4" w:space="0"/>
            </w:tcBorders>
            <w:noWrap/>
            <w:vAlign w:val="center"/>
          </w:tcPr>
          <w:p w14:paraId="665E06AF">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1.1</w:t>
            </w:r>
          </w:p>
        </w:tc>
        <w:tc>
          <w:tcPr>
            <w:tcW w:w="960" w:type="dxa"/>
            <w:tcBorders>
              <w:top w:val="single" w:color="auto" w:sz="4" w:space="0"/>
              <w:left w:val="single" w:color="auto" w:sz="4" w:space="0"/>
              <w:right w:val="single" w:color="auto" w:sz="4" w:space="0"/>
            </w:tcBorders>
            <w:noWrap/>
            <w:vAlign w:val="center"/>
          </w:tcPr>
          <w:p w14:paraId="245593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1.3</w:t>
            </w:r>
          </w:p>
        </w:tc>
        <w:tc>
          <w:tcPr>
            <w:tcW w:w="1530" w:type="dxa"/>
            <w:tcBorders>
              <w:top w:val="single" w:color="auto" w:sz="4" w:space="0"/>
              <w:left w:val="single" w:color="auto" w:sz="4" w:space="0"/>
              <w:right w:val="single" w:color="auto" w:sz="4" w:space="0"/>
            </w:tcBorders>
            <w:noWrap/>
            <w:vAlign w:val="center"/>
          </w:tcPr>
          <w:p w14:paraId="33E095E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0DBD7027">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3E62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exact"/>
          <w:jc w:val="center"/>
        </w:trPr>
        <w:tc>
          <w:tcPr>
            <w:tcW w:w="687" w:type="dxa"/>
            <w:vMerge w:val="restart"/>
            <w:tcBorders>
              <w:left w:val="single" w:color="auto" w:sz="4" w:space="0"/>
              <w:right w:val="single" w:color="auto" w:sz="4" w:space="0"/>
            </w:tcBorders>
            <w:noWrap/>
            <w:vAlign w:val="center"/>
          </w:tcPr>
          <w:p w14:paraId="51634585">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smallCaps w:val="0"/>
                <w:color w:val="000000"/>
                <w:sz w:val="22"/>
                <w:szCs w:val="16"/>
                <w:highlight w:val="none"/>
                <w:lang w:val="en-US" w:eastAsia="zh-CN"/>
              </w:rPr>
            </w:pPr>
            <w:r>
              <w:rPr>
                <w:rFonts w:hint="eastAsia" w:ascii="Times New Roman" w:hAnsi="Times New Roman" w:eastAsia="仿宋" w:cs="仿宋"/>
                <w:i w:val="0"/>
                <w:iCs w:val="0"/>
                <w:smallCaps w:val="0"/>
                <w:color w:val="000000"/>
                <w:kern w:val="0"/>
                <w:sz w:val="22"/>
                <w:szCs w:val="22"/>
                <w:u w:val="none"/>
                <w:lang w:val="en-US" w:eastAsia="zh-CN" w:bidi="ar"/>
              </w:rPr>
              <w:t>民生福祉</w:t>
            </w:r>
          </w:p>
        </w:tc>
        <w:tc>
          <w:tcPr>
            <w:tcW w:w="690" w:type="dxa"/>
            <w:vMerge w:val="restart"/>
            <w:tcBorders>
              <w:top w:val="single" w:color="auto" w:sz="4" w:space="0"/>
              <w:left w:val="single" w:color="auto" w:sz="4" w:space="0"/>
              <w:right w:val="single" w:color="auto" w:sz="4" w:space="0"/>
            </w:tcBorders>
            <w:noWrap/>
            <w:vAlign w:val="center"/>
          </w:tcPr>
          <w:p w14:paraId="1F611A9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7</w:t>
            </w:r>
          </w:p>
        </w:tc>
        <w:tc>
          <w:tcPr>
            <w:tcW w:w="1976" w:type="dxa"/>
            <w:gridSpan w:val="2"/>
            <w:vMerge w:val="restart"/>
            <w:tcBorders>
              <w:top w:val="single" w:color="auto" w:sz="4" w:space="0"/>
              <w:left w:val="single" w:color="auto" w:sz="4" w:space="0"/>
              <w:right w:val="single" w:color="auto" w:sz="4" w:space="0"/>
            </w:tcBorders>
            <w:noWrap/>
            <w:vAlign w:val="center"/>
          </w:tcPr>
          <w:p w14:paraId="059A5AE4">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居民人均可支配收入增长（%）</w:t>
            </w:r>
          </w:p>
        </w:tc>
        <w:tc>
          <w:tcPr>
            <w:tcW w:w="2164" w:type="dxa"/>
            <w:tcBorders>
              <w:top w:val="single" w:color="auto" w:sz="4" w:space="0"/>
              <w:left w:val="single" w:color="auto" w:sz="4" w:space="0"/>
              <w:right w:val="single" w:color="auto" w:sz="4" w:space="0"/>
            </w:tcBorders>
            <w:noWrap/>
            <w:vAlign w:val="center"/>
          </w:tcPr>
          <w:p w14:paraId="0B59FF0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城镇常住居民</w:t>
            </w:r>
          </w:p>
        </w:tc>
        <w:tc>
          <w:tcPr>
            <w:tcW w:w="960" w:type="dxa"/>
            <w:vMerge w:val="restart"/>
            <w:tcBorders>
              <w:top w:val="single" w:color="auto" w:sz="4" w:space="0"/>
              <w:left w:val="single" w:color="auto" w:sz="4" w:space="0"/>
              <w:right w:val="single" w:color="auto" w:sz="4" w:space="0"/>
            </w:tcBorders>
            <w:noWrap/>
            <w:vAlign w:val="center"/>
          </w:tcPr>
          <w:p w14:paraId="2D162B97">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960" w:type="dxa"/>
            <w:vMerge w:val="restart"/>
            <w:tcBorders>
              <w:top w:val="single" w:color="auto" w:sz="4" w:space="0"/>
              <w:left w:val="single" w:color="auto" w:sz="4" w:space="0"/>
              <w:right w:val="single" w:color="auto" w:sz="4" w:space="0"/>
            </w:tcBorders>
            <w:noWrap/>
            <w:vAlign w:val="center"/>
          </w:tcPr>
          <w:p w14:paraId="76808A96">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530" w:type="dxa"/>
            <w:tcBorders>
              <w:top w:val="single" w:color="auto" w:sz="4" w:space="0"/>
              <w:left w:val="single" w:color="auto" w:sz="4" w:space="0"/>
              <w:bottom w:val="single" w:color="auto" w:sz="4" w:space="0"/>
              <w:right w:val="single" w:color="auto" w:sz="4" w:space="0"/>
            </w:tcBorders>
            <w:noWrap/>
            <w:vAlign w:val="center"/>
          </w:tcPr>
          <w:p w14:paraId="5A92184C">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18"/>
                <w:szCs w:val="18"/>
                <w:u w:val="none"/>
                <w:lang w:val="en-US" w:eastAsia="zh-CN" w:bidi="ar"/>
              </w:rPr>
            </w:pPr>
            <w:r>
              <w:rPr>
                <w:rFonts w:hint="eastAsia" w:ascii="Times New Roman" w:hAnsi="Times New Roman" w:eastAsia="仿宋" w:cs="仿宋"/>
                <w:i w:val="0"/>
                <w:iCs w:val="0"/>
                <w:smallCaps w:val="0"/>
                <w:color w:val="000000"/>
                <w:kern w:val="0"/>
                <w:sz w:val="18"/>
                <w:szCs w:val="18"/>
                <w:u w:val="none"/>
                <w:lang w:val="en-US" w:eastAsia="zh-CN" w:bidi="ar"/>
              </w:rPr>
              <w:t>与GDP增长同步</w:t>
            </w:r>
          </w:p>
        </w:tc>
        <w:tc>
          <w:tcPr>
            <w:tcW w:w="1024" w:type="dxa"/>
            <w:vMerge w:val="restart"/>
            <w:tcBorders>
              <w:top w:val="single" w:color="auto" w:sz="4" w:space="0"/>
              <w:left w:val="single" w:color="auto" w:sz="4" w:space="0"/>
              <w:right w:val="single" w:color="auto" w:sz="4" w:space="0"/>
            </w:tcBorders>
            <w:noWrap/>
            <w:vAlign w:val="center"/>
          </w:tcPr>
          <w:p w14:paraId="55EAC92E">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0534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687" w:type="dxa"/>
            <w:vMerge w:val="continue"/>
            <w:tcBorders>
              <w:left w:val="single" w:color="auto" w:sz="4" w:space="0"/>
              <w:right w:val="single" w:color="auto" w:sz="4" w:space="0"/>
            </w:tcBorders>
            <w:noWrap/>
            <w:vAlign w:val="center"/>
          </w:tcPr>
          <w:p w14:paraId="413AFE0A">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vMerge w:val="continue"/>
            <w:tcBorders>
              <w:left w:val="single" w:color="auto" w:sz="4" w:space="0"/>
              <w:bottom w:val="single" w:color="auto" w:sz="4" w:space="0"/>
              <w:right w:val="single" w:color="auto" w:sz="4" w:space="0"/>
            </w:tcBorders>
            <w:noWrap/>
            <w:vAlign w:val="center"/>
          </w:tcPr>
          <w:p w14:paraId="675A1C11">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p>
        </w:tc>
        <w:tc>
          <w:tcPr>
            <w:tcW w:w="1976" w:type="dxa"/>
            <w:gridSpan w:val="2"/>
            <w:vMerge w:val="continue"/>
            <w:tcBorders>
              <w:left w:val="single" w:color="auto" w:sz="4" w:space="0"/>
              <w:bottom w:val="single" w:color="auto" w:sz="4" w:space="0"/>
              <w:right w:val="single" w:color="auto" w:sz="4" w:space="0"/>
            </w:tcBorders>
            <w:noWrap/>
            <w:vAlign w:val="center"/>
          </w:tcPr>
          <w:p w14:paraId="5171549B">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p>
        </w:tc>
        <w:tc>
          <w:tcPr>
            <w:tcW w:w="2164" w:type="dxa"/>
            <w:tcBorders>
              <w:left w:val="single" w:color="auto" w:sz="4" w:space="0"/>
              <w:bottom w:val="single" w:color="auto" w:sz="4" w:space="0"/>
              <w:right w:val="single" w:color="auto" w:sz="4" w:space="0"/>
            </w:tcBorders>
            <w:noWrap/>
            <w:vAlign w:val="center"/>
          </w:tcPr>
          <w:p w14:paraId="500B7A0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农村常住居民</w:t>
            </w:r>
          </w:p>
        </w:tc>
        <w:tc>
          <w:tcPr>
            <w:tcW w:w="960" w:type="dxa"/>
            <w:vMerge w:val="continue"/>
            <w:tcBorders>
              <w:left w:val="single" w:color="auto" w:sz="4" w:space="0"/>
              <w:bottom w:val="single" w:color="auto" w:sz="4" w:space="0"/>
              <w:right w:val="single" w:color="auto" w:sz="4" w:space="0"/>
            </w:tcBorders>
            <w:noWrap/>
            <w:vAlign w:val="center"/>
          </w:tcPr>
          <w:p w14:paraId="62F30C74">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p>
        </w:tc>
        <w:tc>
          <w:tcPr>
            <w:tcW w:w="960" w:type="dxa"/>
            <w:vMerge w:val="continue"/>
            <w:tcBorders>
              <w:left w:val="single" w:color="auto" w:sz="4" w:space="0"/>
              <w:bottom w:val="single" w:color="auto" w:sz="4" w:space="0"/>
              <w:right w:val="single" w:color="auto" w:sz="4" w:space="0"/>
            </w:tcBorders>
            <w:noWrap/>
            <w:vAlign w:val="center"/>
          </w:tcPr>
          <w:p w14:paraId="572C9CDD">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p>
        </w:tc>
        <w:tc>
          <w:tcPr>
            <w:tcW w:w="1530" w:type="dxa"/>
            <w:tcBorders>
              <w:top w:val="single" w:color="auto" w:sz="4" w:space="0"/>
              <w:left w:val="single" w:color="auto" w:sz="4" w:space="0"/>
              <w:bottom w:val="single" w:color="auto" w:sz="4" w:space="0"/>
              <w:right w:val="single" w:color="auto" w:sz="4" w:space="0"/>
            </w:tcBorders>
            <w:noWrap/>
            <w:vAlign w:val="center"/>
          </w:tcPr>
          <w:p w14:paraId="601545AC">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18"/>
                <w:szCs w:val="18"/>
                <w:u w:val="none"/>
                <w:lang w:val="en-US" w:eastAsia="zh-CN" w:bidi="ar"/>
              </w:rPr>
            </w:pPr>
            <w:r>
              <w:rPr>
                <w:rFonts w:hint="eastAsia" w:ascii="Times New Roman" w:hAnsi="Times New Roman" w:eastAsia="仿宋" w:cs="仿宋"/>
                <w:i w:val="0"/>
                <w:iCs w:val="0"/>
                <w:smallCaps w:val="0"/>
                <w:color w:val="000000"/>
                <w:kern w:val="0"/>
                <w:sz w:val="18"/>
                <w:szCs w:val="18"/>
                <w:u w:val="none"/>
                <w:lang w:val="en-US" w:eastAsia="zh-CN" w:bidi="ar"/>
              </w:rPr>
              <w:t>与GDP增长同步</w:t>
            </w:r>
          </w:p>
        </w:tc>
        <w:tc>
          <w:tcPr>
            <w:tcW w:w="1024" w:type="dxa"/>
            <w:vMerge w:val="continue"/>
            <w:tcBorders>
              <w:left w:val="single" w:color="auto" w:sz="4" w:space="0"/>
              <w:bottom w:val="single" w:color="auto" w:sz="4" w:space="0"/>
              <w:right w:val="single" w:color="auto" w:sz="4" w:space="0"/>
            </w:tcBorders>
            <w:noWrap/>
            <w:vAlign w:val="center"/>
          </w:tcPr>
          <w:p w14:paraId="40C5FC24">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p>
        </w:tc>
      </w:tr>
      <w:tr w14:paraId="7A00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14026A0D">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131C9CF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8</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40F620B1">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劳动年龄人口平均受教育年限（年）</w:t>
            </w:r>
          </w:p>
        </w:tc>
        <w:tc>
          <w:tcPr>
            <w:tcW w:w="960" w:type="dxa"/>
            <w:tcBorders>
              <w:top w:val="single" w:color="auto" w:sz="4" w:space="0"/>
              <w:left w:val="single" w:color="auto" w:sz="4" w:space="0"/>
              <w:bottom w:val="single" w:color="auto" w:sz="4" w:space="0"/>
              <w:right w:val="single" w:color="auto" w:sz="4" w:space="0"/>
            </w:tcBorders>
            <w:noWrap/>
            <w:vAlign w:val="center"/>
          </w:tcPr>
          <w:p w14:paraId="194FE2E0">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10.5</w:t>
            </w:r>
          </w:p>
        </w:tc>
        <w:tc>
          <w:tcPr>
            <w:tcW w:w="960" w:type="dxa"/>
            <w:tcBorders>
              <w:top w:val="single" w:color="auto" w:sz="4" w:space="0"/>
              <w:left w:val="single" w:color="auto" w:sz="4" w:space="0"/>
              <w:bottom w:val="single" w:color="auto" w:sz="4" w:space="0"/>
              <w:right w:val="single" w:color="auto" w:sz="4" w:space="0"/>
            </w:tcBorders>
            <w:noWrap/>
            <w:vAlign w:val="center"/>
          </w:tcPr>
          <w:p w14:paraId="715C6AC0">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11</w:t>
            </w:r>
          </w:p>
        </w:tc>
        <w:tc>
          <w:tcPr>
            <w:tcW w:w="1530" w:type="dxa"/>
            <w:tcBorders>
              <w:top w:val="single" w:color="auto" w:sz="4" w:space="0"/>
              <w:left w:val="single" w:color="auto" w:sz="4" w:space="0"/>
              <w:bottom w:val="single" w:color="auto" w:sz="4" w:space="0"/>
              <w:right w:val="single" w:color="auto" w:sz="4" w:space="0"/>
            </w:tcBorders>
            <w:noWrap/>
            <w:vAlign w:val="center"/>
          </w:tcPr>
          <w:p w14:paraId="34D46019">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738AB8F1">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约束性</w:t>
            </w:r>
          </w:p>
        </w:tc>
      </w:tr>
      <w:tr w14:paraId="6E0A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687" w:type="dxa"/>
            <w:vMerge w:val="continue"/>
            <w:tcBorders>
              <w:left w:val="single" w:color="auto" w:sz="4" w:space="0"/>
              <w:right w:val="single" w:color="auto" w:sz="4" w:space="0"/>
            </w:tcBorders>
            <w:noWrap/>
            <w:vAlign w:val="center"/>
          </w:tcPr>
          <w:p w14:paraId="33D00A5C">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vMerge w:val="restart"/>
            <w:tcBorders>
              <w:top w:val="single" w:color="auto" w:sz="4" w:space="0"/>
              <w:left w:val="single" w:color="auto" w:sz="4" w:space="0"/>
              <w:bottom w:val="single" w:color="auto" w:sz="4" w:space="0"/>
              <w:right w:val="single" w:color="auto" w:sz="4" w:space="0"/>
            </w:tcBorders>
            <w:noWrap/>
            <w:vAlign w:val="center"/>
          </w:tcPr>
          <w:p w14:paraId="1F6E37A7">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smallCaps w:val="0"/>
                <w:color w:val="000000"/>
                <w:sz w:val="22"/>
                <w:szCs w:val="16"/>
                <w:highlight w:val="none"/>
                <w:lang w:val="en-US" w:eastAsia="zh-CN"/>
              </w:rPr>
            </w:pPr>
            <w:r>
              <w:rPr>
                <w:rFonts w:hint="eastAsia" w:ascii="Times New Roman" w:hAnsi="Times New Roman"/>
                <w:smallCaps w:val="0"/>
                <w:color w:val="000000"/>
                <w:sz w:val="22"/>
                <w:szCs w:val="16"/>
                <w:highlight w:val="none"/>
                <w:lang w:val="en-US" w:eastAsia="zh-CN"/>
              </w:rPr>
              <w:t>9</w:t>
            </w:r>
          </w:p>
        </w:tc>
        <w:tc>
          <w:tcPr>
            <w:tcW w:w="1944" w:type="dxa"/>
            <w:vMerge w:val="restart"/>
            <w:tcBorders>
              <w:top w:val="single" w:color="auto" w:sz="4" w:space="0"/>
              <w:left w:val="single" w:color="auto" w:sz="4" w:space="0"/>
              <w:bottom w:val="single" w:color="auto" w:sz="4" w:space="0"/>
              <w:right w:val="single" w:color="auto" w:sz="4" w:space="0"/>
            </w:tcBorders>
            <w:noWrap/>
            <w:vAlign w:val="center"/>
          </w:tcPr>
          <w:p w14:paraId="414DCBD4">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smallCaps w:val="0"/>
                <w:color w:val="000000"/>
                <w:sz w:val="22"/>
                <w:szCs w:val="16"/>
                <w:highlight w:val="none"/>
                <w:lang w:val="en-US" w:eastAsia="zh-CN"/>
              </w:rPr>
            </w:pPr>
            <w:r>
              <w:rPr>
                <w:rFonts w:hint="eastAsia" w:ascii="Times New Roman" w:hAnsi="Times New Roman" w:eastAsia="仿宋" w:cs="仿宋"/>
                <w:i w:val="0"/>
                <w:iCs w:val="0"/>
                <w:smallCaps w:val="0"/>
                <w:color w:val="000000"/>
                <w:kern w:val="0"/>
                <w:sz w:val="22"/>
                <w:szCs w:val="22"/>
                <w:u w:val="none"/>
                <w:lang w:val="en-US" w:eastAsia="zh-CN" w:bidi="ar"/>
              </w:rPr>
              <w:t>每千人口拥有医护人员数</w:t>
            </w:r>
          </w:p>
        </w:tc>
        <w:tc>
          <w:tcPr>
            <w:tcW w:w="2196" w:type="dxa"/>
            <w:gridSpan w:val="2"/>
            <w:tcBorders>
              <w:top w:val="single" w:color="auto" w:sz="4" w:space="0"/>
              <w:left w:val="single" w:color="auto" w:sz="4" w:space="0"/>
              <w:bottom w:val="single" w:color="auto" w:sz="4" w:space="0"/>
              <w:right w:val="single" w:color="auto" w:sz="4" w:space="0"/>
            </w:tcBorders>
            <w:noWrap/>
            <w:vAlign w:val="center"/>
          </w:tcPr>
          <w:p w14:paraId="6E3B7740">
            <w:pPr>
              <w:keepNext w:val="0"/>
              <w:keepLines w:val="0"/>
              <w:widowControl/>
              <w:suppressLineNumbers w:val="0"/>
              <w:snapToGrid w:val="0"/>
              <w:spacing w:line="240" w:lineRule="auto"/>
              <w:ind w:left="0" w:leftChars="0" w:right="0" w:rightChars="0" w:firstLine="0" w:firstLineChars="0"/>
              <w:jc w:val="left"/>
              <w:textAlignment w:val="center"/>
              <w:rPr>
                <w:rFonts w:ascii="Times New Roman" w:hAnsi="Times New Roman" w:eastAsia="仿宋"/>
                <w:smallCaps w:val="0"/>
                <w:sz w:val="22"/>
                <w:szCs w:val="22"/>
              </w:rPr>
            </w:pPr>
            <w:r>
              <w:rPr>
                <w:rFonts w:hint="eastAsia" w:ascii="Times New Roman" w:hAnsi="Times New Roman" w:cs="仿宋"/>
                <w:i w:val="0"/>
                <w:iCs w:val="0"/>
                <w:smallCaps w:val="0"/>
                <w:color w:val="000000"/>
                <w:kern w:val="0"/>
                <w:sz w:val="22"/>
                <w:szCs w:val="22"/>
                <w:u w:val="none"/>
                <w:lang w:val="en-US" w:eastAsia="zh-CN" w:bidi="ar"/>
              </w:rPr>
              <w:t>执业医师</w:t>
            </w:r>
            <w:r>
              <w:rPr>
                <w:rFonts w:hint="eastAsia" w:ascii="Times New Roman" w:hAnsi="Times New Roman" w:eastAsia="仿宋" w:cs="仿宋"/>
                <w:i w:val="0"/>
                <w:iCs w:val="0"/>
                <w:smallCaps w:val="0"/>
                <w:color w:val="000000"/>
                <w:kern w:val="0"/>
                <w:sz w:val="22"/>
                <w:szCs w:val="22"/>
                <w:u w:val="none"/>
                <w:lang w:val="en-US" w:eastAsia="zh-CN" w:bidi="ar"/>
              </w:rPr>
              <w:t>数（人）</w:t>
            </w:r>
          </w:p>
        </w:tc>
        <w:tc>
          <w:tcPr>
            <w:tcW w:w="960" w:type="dxa"/>
            <w:tcBorders>
              <w:top w:val="single" w:color="auto" w:sz="4" w:space="0"/>
              <w:left w:val="single" w:color="auto" w:sz="4" w:space="0"/>
              <w:bottom w:val="single" w:color="auto" w:sz="4" w:space="0"/>
              <w:right w:val="single" w:color="auto" w:sz="4" w:space="0"/>
            </w:tcBorders>
            <w:noWrap/>
            <w:vAlign w:val="center"/>
          </w:tcPr>
          <w:p w14:paraId="2A45DDB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smallCaps w:val="0"/>
                <w:color w:val="000000"/>
                <w:sz w:val="22"/>
                <w:szCs w:val="16"/>
                <w:highlight w:val="none"/>
                <w:lang w:val="en-US"/>
              </w:rPr>
            </w:pPr>
            <w:r>
              <w:rPr>
                <w:rFonts w:hint="eastAsia" w:ascii="Times New Roman" w:hAnsi="Times New Roman" w:eastAsia="仿宋" w:cs="仿宋"/>
                <w:i w:val="0"/>
                <w:iCs w:val="0"/>
                <w:smallCaps w:val="0"/>
                <w:color w:val="000000"/>
                <w:kern w:val="0"/>
                <w:sz w:val="22"/>
                <w:szCs w:val="22"/>
                <w:u w:val="none"/>
                <w:lang w:val="en-US" w:eastAsia="zh-CN" w:bidi="ar"/>
              </w:rPr>
              <w:t>3.</w:t>
            </w:r>
            <w:r>
              <w:rPr>
                <w:rFonts w:hint="eastAsia" w:ascii="Times New Roman" w:hAnsi="Times New Roman" w:cs="仿宋"/>
                <w:i w:val="0"/>
                <w:iCs w:val="0"/>
                <w:smallCaps w:val="0"/>
                <w:color w:val="000000"/>
                <w:kern w:val="0"/>
                <w:sz w:val="22"/>
                <w:szCs w:val="22"/>
                <w:u w:val="none"/>
                <w:lang w:val="en-US" w:eastAsia="zh-CN" w:bidi="ar"/>
              </w:rPr>
              <w:t>42</w:t>
            </w:r>
          </w:p>
        </w:tc>
        <w:tc>
          <w:tcPr>
            <w:tcW w:w="960" w:type="dxa"/>
            <w:tcBorders>
              <w:top w:val="single" w:color="auto" w:sz="4" w:space="0"/>
              <w:left w:val="single" w:color="auto" w:sz="4" w:space="0"/>
              <w:bottom w:val="single" w:color="auto" w:sz="4" w:space="0"/>
              <w:right w:val="single" w:color="auto" w:sz="4" w:space="0"/>
            </w:tcBorders>
            <w:noWrap/>
            <w:vAlign w:val="center"/>
          </w:tcPr>
          <w:p w14:paraId="3A3FD6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smallCaps w:val="0"/>
                <w:color w:val="000000"/>
                <w:sz w:val="22"/>
                <w:szCs w:val="16"/>
                <w:highlight w:val="none"/>
                <w:lang w:val="en-US"/>
              </w:rPr>
            </w:pPr>
            <w:r>
              <w:rPr>
                <w:rFonts w:hint="eastAsia" w:ascii="Times New Roman" w:hAnsi="Times New Roman" w:eastAsia="仿宋" w:cs="仿宋"/>
                <w:i w:val="0"/>
                <w:iCs w:val="0"/>
                <w:smallCaps w:val="0"/>
                <w:color w:val="000000"/>
                <w:kern w:val="0"/>
                <w:sz w:val="22"/>
                <w:szCs w:val="22"/>
                <w:u w:val="none"/>
                <w:lang w:val="en-US" w:eastAsia="zh-CN" w:bidi="ar"/>
              </w:rPr>
              <w:t>3.</w:t>
            </w:r>
            <w:r>
              <w:rPr>
                <w:rFonts w:hint="eastAsia" w:ascii="Times New Roman" w:hAnsi="Times New Roman" w:cs="仿宋"/>
                <w:i w:val="0"/>
                <w:iCs w:val="0"/>
                <w:smallCaps w:val="0"/>
                <w:color w:val="000000"/>
                <w:kern w:val="0"/>
                <w:sz w:val="22"/>
                <w:szCs w:val="22"/>
                <w:u w:val="none"/>
                <w:lang w:val="en-US" w:eastAsia="zh-CN" w:bidi="ar"/>
              </w:rPr>
              <w:t>52</w:t>
            </w:r>
          </w:p>
        </w:tc>
        <w:tc>
          <w:tcPr>
            <w:tcW w:w="1530" w:type="dxa"/>
            <w:tcBorders>
              <w:top w:val="single" w:color="auto" w:sz="4" w:space="0"/>
              <w:left w:val="single" w:color="auto" w:sz="4" w:space="0"/>
              <w:bottom w:val="single" w:color="auto" w:sz="4" w:space="0"/>
              <w:right w:val="single" w:color="auto" w:sz="4" w:space="0"/>
            </w:tcBorders>
            <w:noWrap/>
            <w:vAlign w:val="center"/>
          </w:tcPr>
          <w:p w14:paraId="16C38CA6">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仿宋"/>
                <w:smallCaps w:val="0"/>
                <w:color w:val="000000"/>
                <w:sz w:val="22"/>
                <w:szCs w:val="16"/>
                <w:highlight w:val="none"/>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024" w:type="dxa"/>
            <w:vMerge w:val="restart"/>
            <w:tcBorders>
              <w:top w:val="single" w:color="auto" w:sz="4" w:space="0"/>
              <w:left w:val="single" w:color="auto" w:sz="4" w:space="0"/>
              <w:bottom w:val="single" w:color="auto" w:sz="4" w:space="0"/>
              <w:right w:val="single" w:color="auto" w:sz="4" w:space="0"/>
            </w:tcBorders>
            <w:noWrap/>
            <w:vAlign w:val="center"/>
          </w:tcPr>
          <w:p w14:paraId="06DF078E">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仿宋"/>
                <w:smallCaps w:val="0"/>
                <w:color w:val="000000"/>
                <w:sz w:val="22"/>
                <w:szCs w:val="16"/>
                <w:highlight w:val="none"/>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3BC6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687" w:type="dxa"/>
            <w:vMerge w:val="continue"/>
            <w:tcBorders>
              <w:left w:val="single" w:color="auto" w:sz="4" w:space="0"/>
              <w:right w:val="single" w:color="auto" w:sz="4" w:space="0"/>
            </w:tcBorders>
            <w:noWrap/>
            <w:vAlign w:val="center"/>
          </w:tcPr>
          <w:p w14:paraId="47DB3FA1">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vMerge w:val="continue"/>
            <w:tcBorders>
              <w:top w:val="single" w:color="auto" w:sz="4" w:space="0"/>
              <w:left w:val="single" w:color="auto" w:sz="4" w:space="0"/>
              <w:bottom w:val="single" w:color="auto" w:sz="4" w:space="0"/>
              <w:right w:val="single" w:color="auto" w:sz="4" w:space="0"/>
            </w:tcBorders>
            <w:noWrap/>
            <w:vAlign w:val="center"/>
          </w:tcPr>
          <w:p w14:paraId="54E5202F">
            <w:pPr>
              <w:snapToGrid w:val="0"/>
              <w:ind w:left="0" w:leftChars="0" w:right="0" w:rightChars="0" w:firstLine="0" w:firstLineChars="0"/>
              <w:jc w:val="center"/>
              <w:rPr>
                <w:rFonts w:hint="eastAsia" w:ascii="Times New Roman" w:hAnsi="Times New Roman" w:eastAsia="仿宋"/>
                <w:smallCaps w:val="0"/>
                <w:color w:val="000000"/>
                <w:sz w:val="22"/>
                <w:szCs w:val="16"/>
                <w:highlight w:val="none"/>
                <w:lang w:val="en-US" w:eastAsia="zh-CN"/>
              </w:rPr>
            </w:pPr>
          </w:p>
        </w:tc>
        <w:tc>
          <w:tcPr>
            <w:tcW w:w="1944" w:type="dxa"/>
            <w:vMerge w:val="continue"/>
            <w:tcBorders>
              <w:top w:val="single" w:color="auto" w:sz="4" w:space="0"/>
              <w:left w:val="single" w:color="auto" w:sz="4" w:space="0"/>
              <w:bottom w:val="single" w:color="auto" w:sz="4" w:space="0"/>
              <w:right w:val="single" w:color="auto" w:sz="4" w:space="0"/>
            </w:tcBorders>
            <w:noWrap/>
            <w:vAlign w:val="center"/>
          </w:tcPr>
          <w:p w14:paraId="14643F8D">
            <w:pPr>
              <w:snapToGrid w:val="0"/>
              <w:ind w:left="0" w:leftChars="0" w:right="0" w:rightChars="0" w:firstLine="0" w:firstLineChars="0"/>
              <w:jc w:val="left"/>
              <w:rPr>
                <w:rFonts w:hint="eastAsia" w:ascii="Times New Roman" w:hAnsi="Times New Roman" w:eastAsia="仿宋"/>
                <w:smallCaps w:val="0"/>
                <w:color w:val="000000"/>
                <w:sz w:val="22"/>
                <w:szCs w:val="16"/>
                <w:highlight w:val="none"/>
                <w:lang w:val="en-US" w:eastAsia="zh-CN"/>
              </w:rPr>
            </w:pPr>
          </w:p>
        </w:tc>
        <w:tc>
          <w:tcPr>
            <w:tcW w:w="2196" w:type="dxa"/>
            <w:gridSpan w:val="2"/>
            <w:tcBorders>
              <w:top w:val="single" w:color="auto" w:sz="4" w:space="0"/>
              <w:left w:val="single" w:color="auto" w:sz="4" w:space="0"/>
              <w:bottom w:val="single" w:color="auto" w:sz="4" w:space="0"/>
              <w:right w:val="single" w:color="auto" w:sz="4" w:space="0"/>
            </w:tcBorders>
            <w:noWrap/>
            <w:vAlign w:val="center"/>
          </w:tcPr>
          <w:p w14:paraId="48BCC200">
            <w:pPr>
              <w:keepNext w:val="0"/>
              <w:keepLines w:val="0"/>
              <w:widowControl/>
              <w:suppressLineNumbers w:val="0"/>
              <w:snapToGrid w:val="0"/>
              <w:spacing w:line="240" w:lineRule="auto"/>
              <w:ind w:left="0" w:leftChars="0" w:right="0" w:rightChars="0" w:firstLine="0" w:firstLineChars="0"/>
              <w:jc w:val="left"/>
              <w:textAlignment w:val="center"/>
              <w:rPr>
                <w:rFonts w:ascii="Times New Roman" w:hAnsi="Times New Roman" w:eastAsia="仿宋"/>
                <w:smallCaps w:val="0"/>
                <w:sz w:val="22"/>
                <w:szCs w:val="22"/>
              </w:rPr>
            </w:pPr>
            <w:r>
              <w:rPr>
                <w:rFonts w:hint="eastAsia" w:ascii="Times New Roman" w:hAnsi="Times New Roman" w:eastAsia="仿宋" w:cs="仿宋"/>
                <w:i w:val="0"/>
                <w:iCs w:val="0"/>
                <w:smallCaps w:val="0"/>
                <w:color w:val="000000"/>
                <w:kern w:val="0"/>
                <w:sz w:val="22"/>
                <w:szCs w:val="22"/>
                <w:u w:val="none"/>
                <w:lang w:val="en-US" w:eastAsia="zh-CN" w:bidi="ar"/>
              </w:rPr>
              <w:t>注册护士数（人）</w:t>
            </w:r>
          </w:p>
        </w:tc>
        <w:tc>
          <w:tcPr>
            <w:tcW w:w="960" w:type="dxa"/>
            <w:tcBorders>
              <w:top w:val="single" w:color="auto" w:sz="4" w:space="0"/>
              <w:left w:val="single" w:color="auto" w:sz="4" w:space="0"/>
              <w:bottom w:val="single" w:color="auto" w:sz="4" w:space="0"/>
              <w:right w:val="single" w:color="auto" w:sz="4" w:space="0"/>
            </w:tcBorders>
            <w:noWrap/>
            <w:vAlign w:val="center"/>
          </w:tcPr>
          <w:p w14:paraId="05E3D4B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4.83</w:t>
            </w:r>
          </w:p>
        </w:tc>
        <w:tc>
          <w:tcPr>
            <w:tcW w:w="960" w:type="dxa"/>
            <w:tcBorders>
              <w:top w:val="single" w:color="auto" w:sz="4" w:space="0"/>
              <w:left w:val="single" w:color="auto" w:sz="4" w:space="0"/>
              <w:bottom w:val="single" w:color="auto" w:sz="4" w:space="0"/>
              <w:right w:val="single" w:color="auto" w:sz="4" w:space="0"/>
            </w:tcBorders>
            <w:noWrap/>
            <w:vAlign w:val="center"/>
          </w:tcPr>
          <w:p w14:paraId="5128F15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5.</w:t>
            </w:r>
            <w:r>
              <w:rPr>
                <w:rFonts w:hint="eastAsia" w:ascii="Times New Roman" w:hAnsi="Times New Roman" w:cs="仿宋"/>
                <w:i w:val="0"/>
                <w:iCs w:val="0"/>
                <w:smallCaps w:val="0"/>
                <w:color w:val="000000"/>
                <w:kern w:val="0"/>
                <w:sz w:val="22"/>
                <w:szCs w:val="22"/>
                <w:u w:val="none"/>
                <w:lang w:val="en-US" w:eastAsia="zh-CN" w:bidi="ar"/>
              </w:rPr>
              <w:t>05</w:t>
            </w:r>
          </w:p>
        </w:tc>
        <w:tc>
          <w:tcPr>
            <w:tcW w:w="1530" w:type="dxa"/>
            <w:tcBorders>
              <w:top w:val="single" w:color="auto" w:sz="4" w:space="0"/>
              <w:left w:val="single" w:color="auto" w:sz="4" w:space="0"/>
              <w:bottom w:val="single" w:color="auto" w:sz="4" w:space="0"/>
              <w:right w:val="single" w:color="auto" w:sz="4" w:space="0"/>
            </w:tcBorders>
            <w:noWrap/>
            <w:vAlign w:val="center"/>
          </w:tcPr>
          <w:p w14:paraId="605E5F7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024" w:type="dxa"/>
            <w:vMerge w:val="continue"/>
            <w:tcBorders>
              <w:top w:val="single" w:color="auto" w:sz="4" w:space="0"/>
              <w:left w:val="single" w:color="auto" w:sz="4" w:space="0"/>
              <w:bottom w:val="single" w:color="auto" w:sz="4" w:space="0"/>
              <w:right w:val="single" w:color="auto" w:sz="4" w:space="0"/>
            </w:tcBorders>
            <w:noWrap/>
            <w:vAlign w:val="center"/>
          </w:tcPr>
          <w:p w14:paraId="4EE6F073">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r>
      <w:tr w14:paraId="695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0355222A">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0CF2F0C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0</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4859099D">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养老机构护理型床位占比（%）</w:t>
            </w:r>
          </w:p>
        </w:tc>
        <w:tc>
          <w:tcPr>
            <w:tcW w:w="960" w:type="dxa"/>
            <w:tcBorders>
              <w:top w:val="single" w:color="auto" w:sz="4" w:space="0"/>
              <w:left w:val="single" w:color="auto" w:sz="4" w:space="0"/>
              <w:bottom w:val="single" w:color="auto" w:sz="4" w:space="0"/>
              <w:right w:val="single" w:color="auto" w:sz="4" w:space="0"/>
            </w:tcBorders>
            <w:noWrap/>
            <w:vAlign w:val="center"/>
          </w:tcPr>
          <w:p w14:paraId="31C1BAA0">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55</w:t>
            </w:r>
          </w:p>
        </w:tc>
        <w:tc>
          <w:tcPr>
            <w:tcW w:w="960" w:type="dxa"/>
            <w:tcBorders>
              <w:top w:val="single" w:color="auto" w:sz="4" w:space="0"/>
              <w:left w:val="single" w:color="auto" w:sz="4" w:space="0"/>
              <w:bottom w:val="single" w:color="auto" w:sz="4" w:space="0"/>
              <w:right w:val="single" w:color="auto" w:sz="4" w:space="0"/>
            </w:tcBorders>
            <w:noWrap/>
            <w:vAlign w:val="center"/>
          </w:tcPr>
          <w:p w14:paraId="0EB79A44">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73</w:t>
            </w:r>
          </w:p>
        </w:tc>
        <w:tc>
          <w:tcPr>
            <w:tcW w:w="1530" w:type="dxa"/>
            <w:tcBorders>
              <w:top w:val="single" w:color="auto" w:sz="4" w:space="0"/>
              <w:left w:val="single" w:color="auto" w:sz="4" w:space="0"/>
              <w:bottom w:val="single" w:color="auto" w:sz="4" w:space="0"/>
              <w:right w:val="single" w:color="auto" w:sz="4" w:space="0"/>
            </w:tcBorders>
            <w:noWrap/>
            <w:vAlign w:val="center"/>
          </w:tcPr>
          <w:p w14:paraId="1A0E0846">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3.6</w:t>
            </w:r>
          </w:p>
        </w:tc>
        <w:tc>
          <w:tcPr>
            <w:tcW w:w="1024" w:type="dxa"/>
            <w:tcBorders>
              <w:top w:val="single" w:color="auto" w:sz="4" w:space="0"/>
              <w:left w:val="single" w:color="auto" w:sz="4" w:space="0"/>
              <w:bottom w:val="single" w:color="auto" w:sz="4" w:space="0"/>
              <w:right w:val="single" w:color="auto" w:sz="4" w:space="0"/>
            </w:tcBorders>
            <w:noWrap/>
            <w:vAlign w:val="center"/>
          </w:tcPr>
          <w:p w14:paraId="518B2BC9">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500B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09F450FA">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2CC7955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1</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036D0768">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3岁以下婴幼儿入托率提高（百分点）</w:t>
            </w:r>
          </w:p>
        </w:tc>
        <w:tc>
          <w:tcPr>
            <w:tcW w:w="960" w:type="dxa"/>
            <w:tcBorders>
              <w:top w:val="single" w:color="auto" w:sz="4" w:space="0"/>
              <w:left w:val="single" w:color="auto" w:sz="4" w:space="0"/>
              <w:bottom w:val="single" w:color="auto" w:sz="4" w:space="0"/>
              <w:right w:val="single" w:color="auto" w:sz="4" w:space="0"/>
            </w:tcBorders>
            <w:noWrap/>
            <w:vAlign w:val="center"/>
          </w:tcPr>
          <w:p w14:paraId="355CCD1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960" w:type="dxa"/>
            <w:tcBorders>
              <w:top w:val="single" w:color="auto" w:sz="4" w:space="0"/>
              <w:left w:val="single" w:color="auto" w:sz="4" w:space="0"/>
              <w:bottom w:val="single" w:color="auto" w:sz="4" w:space="0"/>
              <w:right w:val="single" w:color="auto" w:sz="4" w:space="0"/>
            </w:tcBorders>
            <w:noWrap/>
            <w:vAlign w:val="center"/>
          </w:tcPr>
          <w:p w14:paraId="4671BECC">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530" w:type="dxa"/>
            <w:tcBorders>
              <w:top w:val="single" w:color="auto" w:sz="4" w:space="0"/>
              <w:left w:val="single" w:color="auto" w:sz="4" w:space="0"/>
              <w:bottom w:val="single" w:color="auto" w:sz="4" w:space="0"/>
              <w:right w:val="single" w:color="auto" w:sz="4" w:space="0"/>
            </w:tcBorders>
            <w:noWrap/>
            <w:vAlign w:val="center"/>
          </w:tcPr>
          <w:p w14:paraId="627C707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〔3.4〕</w:t>
            </w:r>
          </w:p>
        </w:tc>
        <w:tc>
          <w:tcPr>
            <w:tcW w:w="1024" w:type="dxa"/>
            <w:tcBorders>
              <w:top w:val="single" w:color="auto" w:sz="4" w:space="0"/>
              <w:left w:val="single" w:color="auto" w:sz="4" w:space="0"/>
              <w:bottom w:val="single" w:color="auto" w:sz="4" w:space="0"/>
              <w:right w:val="single" w:color="auto" w:sz="4" w:space="0"/>
            </w:tcBorders>
            <w:noWrap/>
            <w:vAlign w:val="center"/>
          </w:tcPr>
          <w:p w14:paraId="3D627975">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7B6F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right w:val="single" w:color="auto" w:sz="4" w:space="0"/>
            </w:tcBorders>
            <w:noWrap/>
            <w:vAlign w:val="center"/>
          </w:tcPr>
          <w:p w14:paraId="485954F1">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72E424D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2</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4B4F2CEC">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人均预期寿命（岁）</w:t>
            </w:r>
          </w:p>
        </w:tc>
        <w:tc>
          <w:tcPr>
            <w:tcW w:w="960" w:type="dxa"/>
            <w:tcBorders>
              <w:top w:val="single" w:color="auto" w:sz="4" w:space="0"/>
              <w:left w:val="single" w:color="auto" w:sz="4" w:space="0"/>
              <w:bottom w:val="single" w:color="auto" w:sz="4" w:space="0"/>
              <w:right w:val="single" w:color="auto" w:sz="4" w:space="0"/>
            </w:tcBorders>
            <w:noWrap/>
            <w:vAlign w:val="center"/>
          </w:tcPr>
          <w:p w14:paraId="362161EE">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≥79</w:t>
            </w:r>
          </w:p>
        </w:tc>
        <w:tc>
          <w:tcPr>
            <w:tcW w:w="960" w:type="dxa"/>
            <w:tcBorders>
              <w:top w:val="single" w:color="auto" w:sz="4" w:space="0"/>
              <w:left w:val="single" w:color="auto" w:sz="4" w:space="0"/>
              <w:bottom w:val="single" w:color="auto" w:sz="4" w:space="0"/>
              <w:right w:val="single" w:color="auto" w:sz="4" w:space="0"/>
            </w:tcBorders>
            <w:noWrap/>
            <w:vAlign w:val="center"/>
          </w:tcPr>
          <w:p w14:paraId="075B97F4">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80左右</w:t>
            </w:r>
          </w:p>
        </w:tc>
        <w:tc>
          <w:tcPr>
            <w:tcW w:w="1530" w:type="dxa"/>
            <w:tcBorders>
              <w:top w:val="single" w:color="auto" w:sz="4" w:space="0"/>
              <w:left w:val="single" w:color="auto" w:sz="4" w:space="0"/>
              <w:bottom w:val="single" w:color="auto" w:sz="4" w:space="0"/>
              <w:right w:val="single" w:color="auto" w:sz="4" w:space="0"/>
            </w:tcBorders>
            <w:noWrap/>
            <w:vAlign w:val="center"/>
          </w:tcPr>
          <w:p w14:paraId="24EE4374">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631C2ACB">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预期性</w:t>
            </w:r>
          </w:p>
        </w:tc>
      </w:tr>
      <w:tr w14:paraId="2E14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687" w:type="dxa"/>
            <w:vMerge w:val="restart"/>
            <w:tcBorders>
              <w:left w:val="single" w:color="auto" w:sz="4" w:space="0"/>
              <w:bottom w:val="single" w:color="auto" w:sz="4" w:space="0"/>
              <w:right w:val="single" w:color="auto" w:sz="4" w:space="0"/>
            </w:tcBorders>
            <w:noWrap/>
            <w:vAlign w:val="center"/>
          </w:tcPr>
          <w:p w14:paraId="59629D85">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仿宋"/>
                <w:smallCaps w:val="0"/>
                <w:color w:val="000000"/>
                <w:sz w:val="22"/>
                <w:szCs w:val="16"/>
                <w:highlight w:val="none"/>
              </w:rPr>
            </w:pPr>
            <w:r>
              <w:rPr>
                <w:rFonts w:hint="eastAsia" w:ascii="Times New Roman" w:hAnsi="Times New Roman" w:eastAsia="仿宋" w:cs="仿宋"/>
                <w:i w:val="0"/>
                <w:iCs w:val="0"/>
                <w:smallCaps w:val="0"/>
                <w:color w:val="000000"/>
                <w:kern w:val="0"/>
                <w:sz w:val="22"/>
                <w:szCs w:val="22"/>
                <w:u w:val="none"/>
                <w:lang w:val="en-US" w:eastAsia="zh-CN" w:bidi="ar"/>
              </w:rPr>
              <w:t>绿色</w:t>
            </w:r>
            <w:r>
              <w:rPr>
                <w:rFonts w:hint="eastAsia" w:ascii="Times New Roman" w:hAnsi="Times New Roman" w:eastAsia="仿宋" w:cs="仿宋"/>
                <w:i w:val="0"/>
                <w:iCs w:val="0"/>
                <w:smallCaps w:val="0"/>
                <w:color w:val="000000"/>
                <w:kern w:val="0"/>
                <w:sz w:val="22"/>
                <w:szCs w:val="22"/>
                <w:u w:val="none"/>
                <w:lang w:val="en-US" w:eastAsia="zh-CN" w:bidi="ar"/>
              </w:rPr>
              <w:br w:type="textWrapping"/>
            </w:r>
            <w:r>
              <w:rPr>
                <w:rFonts w:hint="eastAsia" w:ascii="Times New Roman" w:hAnsi="Times New Roman" w:eastAsia="仿宋" w:cs="仿宋"/>
                <w:i w:val="0"/>
                <w:iCs w:val="0"/>
                <w:smallCaps w:val="0"/>
                <w:color w:val="000000"/>
                <w:kern w:val="0"/>
                <w:sz w:val="22"/>
                <w:szCs w:val="22"/>
                <w:u w:val="none"/>
                <w:lang w:val="en-US" w:eastAsia="zh-CN" w:bidi="ar"/>
              </w:rPr>
              <w:t>低碳</w:t>
            </w:r>
          </w:p>
        </w:tc>
        <w:tc>
          <w:tcPr>
            <w:tcW w:w="690" w:type="dxa"/>
            <w:tcBorders>
              <w:top w:val="single" w:color="auto" w:sz="4" w:space="0"/>
              <w:left w:val="single" w:color="auto" w:sz="4" w:space="0"/>
              <w:right w:val="single" w:color="auto" w:sz="4" w:space="0"/>
            </w:tcBorders>
            <w:noWrap/>
            <w:vAlign w:val="center"/>
          </w:tcPr>
          <w:p w14:paraId="7A605FF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13</w:t>
            </w:r>
          </w:p>
        </w:tc>
        <w:tc>
          <w:tcPr>
            <w:tcW w:w="4140" w:type="dxa"/>
            <w:gridSpan w:val="3"/>
            <w:tcBorders>
              <w:top w:val="single" w:color="auto" w:sz="4" w:space="0"/>
              <w:left w:val="single" w:color="auto" w:sz="4" w:space="0"/>
              <w:right w:val="single" w:color="auto" w:sz="4" w:space="0"/>
            </w:tcBorders>
            <w:noWrap/>
            <w:vAlign w:val="center"/>
          </w:tcPr>
          <w:p w14:paraId="43B4DFA1">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单位GDP二氧化碳排放降低（%）</w:t>
            </w:r>
          </w:p>
        </w:tc>
        <w:tc>
          <w:tcPr>
            <w:tcW w:w="960" w:type="dxa"/>
            <w:tcBorders>
              <w:top w:val="single" w:color="auto" w:sz="4" w:space="0"/>
              <w:left w:val="single" w:color="auto" w:sz="4" w:space="0"/>
              <w:right w:val="single" w:color="auto" w:sz="4" w:space="0"/>
            </w:tcBorders>
            <w:noWrap/>
            <w:vAlign w:val="center"/>
          </w:tcPr>
          <w:p w14:paraId="01CFB69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3.91*</w:t>
            </w:r>
          </w:p>
        </w:tc>
        <w:tc>
          <w:tcPr>
            <w:tcW w:w="960" w:type="dxa"/>
            <w:tcBorders>
              <w:top w:val="single" w:color="auto" w:sz="4" w:space="0"/>
              <w:left w:val="single" w:color="auto" w:sz="4" w:space="0"/>
              <w:right w:val="single" w:color="auto" w:sz="4" w:space="0"/>
            </w:tcBorders>
            <w:noWrap/>
            <w:vAlign w:val="center"/>
          </w:tcPr>
          <w:p w14:paraId="3ADE213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0"/>
                <w:szCs w:val="20"/>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530" w:type="dxa"/>
            <w:tcBorders>
              <w:top w:val="single" w:color="auto" w:sz="4" w:space="0"/>
              <w:left w:val="single" w:color="auto" w:sz="4" w:space="0"/>
              <w:right w:val="single" w:color="auto" w:sz="4" w:space="0"/>
            </w:tcBorders>
            <w:noWrap/>
            <w:vAlign w:val="center"/>
          </w:tcPr>
          <w:p w14:paraId="52235B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18"/>
                <w:szCs w:val="18"/>
                <w:u w:val="none"/>
                <w:lang w:val="en-US" w:eastAsia="zh-CN" w:bidi="ar"/>
              </w:rPr>
              <w:t>〔完成经长春市审核衔接后确定的目标〕</w:t>
            </w:r>
          </w:p>
        </w:tc>
        <w:tc>
          <w:tcPr>
            <w:tcW w:w="1024" w:type="dxa"/>
            <w:tcBorders>
              <w:top w:val="single" w:color="auto" w:sz="4" w:space="0"/>
              <w:left w:val="single" w:color="auto" w:sz="4" w:space="0"/>
              <w:bottom w:val="single" w:color="auto" w:sz="4" w:space="0"/>
              <w:right w:val="single" w:color="auto" w:sz="4" w:space="0"/>
            </w:tcBorders>
            <w:noWrap/>
            <w:vAlign w:val="center"/>
          </w:tcPr>
          <w:p w14:paraId="1292D835">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约束性</w:t>
            </w:r>
          </w:p>
        </w:tc>
      </w:tr>
      <w:tr w14:paraId="7DD0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exact"/>
          <w:jc w:val="center"/>
        </w:trPr>
        <w:tc>
          <w:tcPr>
            <w:tcW w:w="687" w:type="dxa"/>
            <w:vMerge w:val="continue"/>
            <w:tcBorders>
              <w:left w:val="single" w:color="auto" w:sz="4" w:space="0"/>
              <w:bottom w:val="single" w:color="auto" w:sz="4" w:space="0"/>
              <w:right w:val="single" w:color="auto" w:sz="4" w:space="0"/>
            </w:tcBorders>
            <w:noWrap/>
            <w:vAlign w:val="center"/>
          </w:tcPr>
          <w:p w14:paraId="0E157D8B">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right w:val="single" w:color="auto" w:sz="4" w:space="0"/>
            </w:tcBorders>
            <w:noWrap/>
            <w:vAlign w:val="center"/>
          </w:tcPr>
          <w:p w14:paraId="2552748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4</w:t>
            </w:r>
          </w:p>
        </w:tc>
        <w:tc>
          <w:tcPr>
            <w:tcW w:w="4140" w:type="dxa"/>
            <w:gridSpan w:val="3"/>
            <w:tcBorders>
              <w:top w:val="single" w:color="auto" w:sz="4" w:space="0"/>
              <w:left w:val="single" w:color="auto" w:sz="4" w:space="0"/>
              <w:right w:val="single" w:color="auto" w:sz="4" w:space="0"/>
            </w:tcBorders>
            <w:noWrap/>
            <w:vAlign w:val="center"/>
          </w:tcPr>
          <w:p w14:paraId="14159516">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非化石能源占能源消费总量比重（%）</w:t>
            </w:r>
          </w:p>
        </w:tc>
        <w:tc>
          <w:tcPr>
            <w:tcW w:w="960" w:type="dxa"/>
            <w:tcBorders>
              <w:top w:val="single" w:color="auto" w:sz="4" w:space="0"/>
              <w:left w:val="single" w:color="auto" w:sz="4" w:space="0"/>
              <w:right w:val="single" w:color="auto" w:sz="4" w:space="0"/>
            </w:tcBorders>
            <w:noWrap/>
            <w:vAlign w:val="center"/>
          </w:tcPr>
          <w:p w14:paraId="6DAF380A">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960" w:type="dxa"/>
            <w:tcBorders>
              <w:top w:val="single" w:color="auto" w:sz="4" w:space="0"/>
              <w:left w:val="single" w:color="auto" w:sz="4" w:space="0"/>
              <w:right w:val="single" w:color="auto" w:sz="4" w:space="0"/>
            </w:tcBorders>
            <w:noWrap/>
            <w:vAlign w:val="center"/>
          </w:tcPr>
          <w:p w14:paraId="7726B42B">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0"/>
                <w:szCs w:val="20"/>
                <w:u w:val="none"/>
                <w:lang w:val="en-US" w:eastAsia="zh-CN" w:bidi="ar"/>
              </w:rPr>
            </w:pPr>
            <w:r>
              <w:rPr>
                <w:rFonts w:hint="eastAsia" w:ascii="Times New Roman" w:hAnsi="Times New Roman" w:eastAsia="仿宋" w:cs="仿宋"/>
                <w:i w:val="0"/>
                <w:iCs w:val="0"/>
                <w:smallCaps w:val="0"/>
                <w:color w:val="000000"/>
                <w:kern w:val="0"/>
                <w:sz w:val="18"/>
                <w:szCs w:val="18"/>
                <w:u w:val="none"/>
                <w:lang w:val="en-US" w:eastAsia="zh-CN" w:bidi="ar"/>
              </w:rPr>
              <w:t>完成经长春市审核衔接后确定的目</w:t>
            </w:r>
            <w:r>
              <w:rPr>
                <w:rFonts w:hint="eastAsia" w:ascii="Times New Roman" w:hAnsi="Times New Roman" w:eastAsia="仿宋" w:cs="仿宋"/>
                <w:i w:val="0"/>
                <w:iCs w:val="0"/>
                <w:smallCaps w:val="0"/>
                <w:color w:val="000000"/>
                <w:kern w:val="0"/>
                <w:sz w:val="20"/>
                <w:szCs w:val="20"/>
                <w:u w:val="none"/>
                <w:lang w:val="en-US" w:eastAsia="zh-CN" w:bidi="ar"/>
              </w:rPr>
              <w:t>标</w:t>
            </w:r>
          </w:p>
        </w:tc>
        <w:tc>
          <w:tcPr>
            <w:tcW w:w="1530" w:type="dxa"/>
            <w:tcBorders>
              <w:top w:val="single" w:color="auto" w:sz="4" w:space="0"/>
              <w:left w:val="single" w:color="auto" w:sz="4" w:space="0"/>
              <w:right w:val="single" w:color="auto" w:sz="4" w:space="0"/>
            </w:tcBorders>
            <w:noWrap/>
            <w:vAlign w:val="center"/>
          </w:tcPr>
          <w:p w14:paraId="0DCB4FC3">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24717A1F">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约束性</w:t>
            </w:r>
          </w:p>
        </w:tc>
      </w:tr>
      <w:tr w14:paraId="5652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687" w:type="dxa"/>
            <w:vMerge w:val="continue"/>
            <w:tcBorders>
              <w:left w:val="single" w:color="auto" w:sz="4" w:space="0"/>
              <w:bottom w:val="single" w:color="auto" w:sz="4" w:space="0"/>
              <w:right w:val="single" w:color="auto" w:sz="4" w:space="0"/>
            </w:tcBorders>
            <w:noWrap/>
            <w:vAlign w:val="center"/>
          </w:tcPr>
          <w:p w14:paraId="7A98EE65">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right w:val="single" w:color="auto" w:sz="4" w:space="0"/>
            </w:tcBorders>
            <w:noWrap/>
            <w:vAlign w:val="center"/>
          </w:tcPr>
          <w:p w14:paraId="161C772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highlight w:val="none"/>
                <w:u w:val="none"/>
                <w:lang w:val="en-US" w:eastAsia="zh-CN" w:bidi="ar"/>
              </w:rPr>
            </w:pPr>
            <w:r>
              <w:rPr>
                <w:rFonts w:hint="eastAsia" w:ascii="Times New Roman" w:hAnsi="Times New Roman" w:eastAsia="仿宋" w:cs="仿宋"/>
                <w:i w:val="0"/>
                <w:iCs w:val="0"/>
                <w:smallCaps w:val="0"/>
                <w:color w:val="000000"/>
                <w:kern w:val="0"/>
                <w:sz w:val="22"/>
                <w:szCs w:val="22"/>
                <w:highlight w:val="none"/>
                <w:u w:val="none"/>
                <w:lang w:val="en-US" w:eastAsia="zh-CN" w:bidi="ar"/>
              </w:rPr>
              <w:t>1</w:t>
            </w:r>
            <w:r>
              <w:rPr>
                <w:rFonts w:hint="eastAsia" w:ascii="Times New Roman" w:hAnsi="Times New Roman" w:cs="仿宋"/>
                <w:i w:val="0"/>
                <w:iCs w:val="0"/>
                <w:smallCaps w:val="0"/>
                <w:color w:val="000000"/>
                <w:kern w:val="0"/>
                <w:sz w:val="22"/>
                <w:szCs w:val="22"/>
                <w:highlight w:val="none"/>
                <w:u w:val="none"/>
                <w:lang w:val="en-US" w:eastAsia="zh-CN" w:bidi="ar"/>
              </w:rPr>
              <w:t>5</w:t>
            </w:r>
          </w:p>
        </w:tc>
        <w:tc>
          <w:tcPr>
            <w:tcW w:w="4140" w:type="dxa"/>
            <w:gridSpan w:val="3"/>
            <w:tcBorders>
              <w:top w:val="single" w:color="auto" w:sz="4" w:space="0"/>
              <w:left w:val="single" w:color="auto" w:sz="4" w:space="0"/>
              <w:right w:val="single" w:color="auto" w:sz="4" w:space="0"/>
            </w:tcBorders>
            <w:noWrap/>
            <w:vAlign w:val="center"/>
          </w:tcPr>
          <w:p w14:paraId="54DA7161">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highlight w:val="none"/>
                <w:u w:val="none"/>
                <w:lang w:val="en-US" w:eastAsia="zh-CN" w:bidi="ar"/>
              </w:rPr>
            </w:pPr>
            <w:r>
              <w:rPr>
                <w:rFonts w:hint="eastAsia" w:ascii="Times New Roman" w:hAnsi="Times New Roman" w:eastAsia="仿宋" w:cs="仿宋"/>
                <w:i w:val="0"/>
                <w:iCs w:val="0"/>
                <w:smallCaps w:val="0"/>
                <w:color w:val="000000"/>
                <w:kern w:val="0"/>
                <w:sz w:val="22"/>
                <w:szCs w:val="22"/>
                <w:highlight w:val="none"/>
                <w:u w:val="none"/>
                <w:lang w:val="en-US" w:eastAsia="zh-CN" w:bidi="ar"/>
              </w:rPr>
              <w:t>城市细颗粒物（PM2.5）浓度（微克/立方米）</w:t>
            </w:r>
          </w:p>
        </w:tc>
        <w:tc>
          <w:tcPr>
            <w:tcW w:w="960" w:type="dxa"/>
            <w:tcBorders>
              <w:top w:val="single" w:color="auto" w:sz="4" w:space="0"/>
              <w:left w:val="single" w:color="auto" w:sz="4" w:space="0"/>
              <w:right w:val="single" w:color="auto" w:sz="4" w:space="0"/>
            </w:tcBorders>
            <w:noWrap/>
            <w:vAlign w:val="center"/>
          </w:tcPr>
          <w:p w14:paraId="092A051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highlight w:val="none"/>
                <w:u w:val="none"/>
                <w:lang w:val="en-US" w:eastAsia="zh-CN" w:bidi="ar"/>
              </w:rPr>
            </w:pPr>
            <w:r>
              <w:rPr>
                <w:rFonts w:hint="eastAsia" w:ascii="Times New Roman" w:hAnsi="Times New Roman" w:cs="仿宋"/>
                <w:i w:val="0"/>
                <w:iCs w:val="0"/>
                <w:smallCaps w:val="0"/>
                <w:color w:val="000000"/>
                <w:kern w:val="0"/>
                <w:sz w:val="22"/>
                <w:szCs w:val="22"/>
                <w:highlight w:val="none"/>
                <w:u w:val="none"/>
                <w:lang w:val="en-US" w:eastAsia="zh-CN" w:bidi="ar"/>
              </w:rPr>
              <w:t>39</w:t>
            </w:r>
          </w:p>
        </w:tc>
        <w:tc>
          <w:tcPr>
            <w:tcW w:w="960" w:type="dxa"/>
            <w:tcBorders>
              <w:top w:val="single" w:color="auto" w:sz="4" w:space="0"/>
              <w:left w:val="single" w:color="auto" w:sz="4" w:space="0"/>
              <w:right w:val="single" w:color="auto" w:sz="4" w:space="0"/>
            </w:tcBorders>
            <w:noWrap/>
            <w:vAlign w:val="center"/>
          </w:tcPr>
          <w:p w14:paraId="6AFC481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0"/>
                <w:szCs w:val="20"/>
                <w:highlight w:val="none"/>
                <w:u w:val="none"/>
                <w:lang w:val="en-US" w:eastAsia="zh-CN" w:bidi="ar"/>
              </w:rPr>
            </w:pPr>
            <w:r>
              <w:rPr>
                <w:rFonts w:hint="eastAsia" w:ascii="Times New Roman" w:hAnsi="Times New Roman" w:eastAsia="仿宋" w:cs="仿宋"/>
                <w:i w:val="0"/>
                <w:iCs w:val="0"/>
                <w:smallCaps w:val="0"/>
                <w:color w:val="000000"/>
                <w:kern w:val="0"/>
                <w:sz w:val="18"/>
                <w:szCs w:val="18"/>
                <w:highlight w:val="none"/>
                <w:u w:val="none"/>
                <w:lang w:val="en-US" w:eastAsia="zh-CN" w:bidi="ar"/>
              </w:rPr>
              <w:t>达到长春市考核要求</w:t>
            </w:r>
          </w:p>
        </w:tc>
        <w:tc>
          <w:tcPr>
            <w:tcW w:w="1530" w:type="dxa"/>
            <w:tcBorders>
              <w:top w:val="single" w:color="auto" w:sz="4" w:space="0"/>
              <w:left w:val="single" w:color="auto" w:sz="4" w:space="0"/>
              <w:right w:val="single" w:color="auto" w:sz="4" w:space="0"/>
            </w:tcBorders>
            <w:noWrap/>
            <w:vAlign w:val="center"/>
          </w:tcPr>
          <w:p w14:paraId="5769507F">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highlight w:val="none"/>
                <w:u w:val="none"/>
                <w:lang w:val="en-US" w:eastAsia="zh-CN" w:bidi="ar"/>
              </w:rPr>
            </w:pPr>
            <w:r>
              <w:rPr>
                <w:rFonts w:hint="eastAsia" w:ascii="Times New Roman" w:hAnsi="Times New Roman" w:eastAsia="仿宋" w:cs="仿宋"/>
                <w:i w:val="0"/>
                <w:iCs w:val="0"/>
                <w:smallCaps w:val="0"/>
                <w:color w:val="000000"/>
                <w:kern w:val="0"/>
                <w:sz w:val="22"/>
                <w:szCs w:val="22"/>
                <w:highlight w:val="none"/>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31B3C12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highlight w:val="none"/>
                <w:u w:val="none"/>
                <w:lang w:val="en-US" w:eastAsia="zh-CN" w:bidi="ar"/>
              </w:rPr>
            </w:pPr>
            <w:r>
              <w:rPr>
                <w:rFonts w:hint="eastAsia" w:ascii="Times New Roman" w:hAnsi="Times New Roman" w:eastAsia="仿宋" w:cs="仿宋"/>
                <w:i w:val="0"/>
                <w:iCs w:val="0"/>
                <w:smallCaps w:val="0"/>
                <w:color w:val="000000"/>
                <w:kern w:val="0"/>
                <w:sz w:val="22"/>
                <w:szCs w:val="22"/>
                <w:highlight w:val="none"/>
                <w:u w:val="none"/>
                <w:lang w:val="en-US" w:eastAsia="zh-CN" w:bidi="ar"/>
              </w:rPr>
              <w:t>约束性</w:t>
            </w:r>
          </w:p>
        </w:tc>
      </w:tr>
      <w:tr w14:paraId="65EB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687" w:type="dxa"/>
            <w:vMerge w:val="continue"/>
            <w:tcBorders>
              <w:left w:val="single" w:color="auto" w:sz="4" w:space="0"/>
              <w:bottom w:val="single" w:color="auto" w:sz="4" w:space="0"/>
              <w:right w:val="single" w:color="auto" w:sz="4" w:space="0"/>
            </w:tcBorders>
            <w:noWrap/>
            <w:vAlign w:val="center"/>
          </w:tcPr>
          <w:p w14:paraId="50FFAADC">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right w:val="single" w:color="auto" w:sz="4" w:space="0"/>
            </w:tcBorders>
            <w:noWrap/>
            <w:vAlign w:val="center"/>
          </w:tcPr>
          <w:p w14:paraId="74E1E8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6</w:t>
            </w:r>
          </w:p>
        </w:tc>
        <w:tc>
          <w:tcPr>
            <w:tcW w:w="4140" w:type="dxa"/>
            <w:gridSpan w:val="3"/>
            <w:tcBorders>
              <w:top w:val="single" w:color="auto" w:sz="4" w:space="0"/>
              <w:left w:val="single" w:color="auto" w:sz="4" w:space="0"/>
              <w:right w:val="single" w:color="auto" w:sz="4" w:space="0"/>
            </w:tcBorders>
            <w:noWrap/>
            <w:vAlign w:val="center"/>
          </w:tcPr>
          <w:p w14:paraId="16FD1E1B">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优良水体比例（%）</w:t>
            </w:r>
          </w:p>
        </w:tc>
        <w:tc>
          <w:tcPr>
            <w:tcW w:w="960" w:type="dxa"/>
            <w:tcBorders>
              <w:top w:val="single" w:color="auto" w:sz="4" w:space="0"/>
              <w:left w:val="single" w:color="auto" w:sz="4" w:space="0"/>
              <w:right w:val="single" w:color="auto" w:sz="4" w:space="0"/>
            </w:tcBorders>
            <w:noWrap/>
            <w:vAlign w:val="center"/>
          </w:tcPr>
          <w:p w14:paraId="47A5198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66.7</w:t>
            </w:r>
          </w:p>
        </w:tc>
        <w:tc>
          <w:tcPr>
            <w:tcW w:w="960" w:type="dxa"/>
            <w:tcBorders>
              <w:top w:val="single" w:color="auto" w:sz="4" w:space="0"/>
              <w:left w:val="single" w:color="auto" w:sz="4" w:space="0"/>
              <w:right w:val="single" w:color="auto" w:sz="4" w:space="0"/>
            </w:tcBorders>
            <w:noWrap/>
            <w:vAlign w:val="center"/>
          </w:tcPr>
          <w:p w14:paraId="4A183B3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18"/>
                <w:szCs w:val="18"/>
                <w:u w:val="none"/>
                <w:lang w:val="en-US" w:eastAsia="zh-CN" w:bidi="ar"/>
              </w:rPr>
            </w:pPr>
            <w:r>
              <w:rPr>
                <w:rFonts w:hint="eastAsia" w:ascii="Times New Roman" w:hAnsi="Times New Roman" w:eastAsia="仿宋" w:cs="仿宋"/>
                <w:i w:val="0"/>
                <w:iCs w:val="0"/>
                <w:smallCaps w:val="0"/>
                <w:color w:val="000000"/>
                <w:kern w:val="0"/>
                <w:sz w:val="18"/>
                <w:szCs w:val="18"/>
                <w:highlight w:val="none"/>
                <w:u w:val="none"/>
                <w:lang w:val="en-US" w:eastAsia="zh-CN" w:bidi="ar"/>
              </w:rPr>
              <w:t>达到长春市考核要求</w:t>
            </w:r>
          </w:p>
        </w:tc>
        <w:tc>
          <w:tcPr>
            <w:tcW w:w="1530" w:type="dxa"/>
            <w:tcBorders>
              <w:top w:val="single" w:color="auto" w:sz="4" w:space="0"/>
              <w:left w:val="single" w:color="auto" w:sz="4" w:space="0"/>
              <w:right w:val="single" w:color="auto" w:sz="4" w:space="0"/>
            </w:tcBorders>
            <w:noWrap/>
            <w:vAlign w:val="center"/>
          </w:tcPr>
          <w:p w14:paraId="72440FC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2C06590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约束性</w:t>
            </w:r>
          </w:p>
        </w:tc>
      </w:tr>
      <w:tr w14:paraId="4C55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687" w:type="dxa"/>
            <w:vMerge w:val="continue"/>
            <w:tcBorders>
              <w:top w:val="single" w:color="auto" w:sz="4" w:space="0"/>
              <w:left w:val="single" w:color="auto" w:sz="4" w:space="0"/>
              <w:bottom w:val="single" w:color="auto" w:sz="4" w:space="0"/>
              <w:right w:val="single" w:color="auto" w:sz="4" w:space="0"/>
            </w:tcBorders>
            <w:noWrap/>
            <w:vAlign w:val="center"/>
          </w:tcPr>
          <w:p w14:paraId="5E0D002B">
            <w:pPr>
              <w:snapToGrid w:val="0"/>
              <w:ind w:left="0" w:leftChars="0" w:right="0" w:rightChars="0" w:firstLine="0" w:firstLineChars="0"/>
              <w:jc w:val="center"/>
              <w:rPr>
                <w:rFonts w:ascii="Times New Roman" w:hAnsi="Times New Roman" w:eastAsia="仿宋"/>
                <w:smallCaps w:val="0"/>
                <w:color w:val="000000"/>
                <w:sz w:val="22"/>
                <w:szCs w:val="16"/>
                <w:highlight w:val="none"/>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3D1E3FE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7</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20C9C016">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森林覆盖率（%）</w:t>
            </w:r>
          </w:p>
        </w:tc>
        <w:tc>
          <w:tcPr>
            <w:tcW w:w="960" w:type="dxa"/>
            <w:tcBorders>
              <w:top w:val="single" w:color="auto" w:sz="4" w:space="0"/>
              <w:left w:val="single" w:color="auto" w:sz="4" w:space="0"/>
              <w:bottom w:val="single" w:color="auto" w:sz="4" w:space="0"/>
              <w:right w:val="single" w:color="auto" w:sz="4" w:space="0"/>
            </w:tcBorders>
            <w:noWrap/>
            <w:vAlign w:val="center"/>
          </w:tcPr>
          <w:p w14:paraId="1DF93820">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5.89</w:t>
            </w:r>
          </w:p>
        </w:tc>
        <w:tc>
          <w:tcPr>
            <w:tcW w:w="960" w:type="dxa"/>
            <w:tcBorders>
              <w:top w:val="single" w:color="auto" w:sz="4" w:space="0"/>
              <w:left w:val="single" w:color="auto" w:sz="4" w:space="0"/>
              <w:bottom w:val="single" w:color="auto" w:sz="4" w:space="0"/>
              <w:right w:val="single" w:color="auto" w:sz="4" w:space="0"/>
            </w:tcBorders>
            <w:noWrap/>
            <w:vAlign w:val="center"/>
          </w:tcPr>
          <w:p w14:paraId="72508491">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1"/>
                <w:szCs w:val="21"/>
                <w:u w:val="none"/>
                <w:lang w:val="en-US" w:eastAsia="zh-CN" w:bidi="ar"/>
              </w:rPr>
            </w:pPr>
            <w:r>
              <w:rPr>
                <w:rFonts w:hint="eastAsia" w:ascii="Times New Roman" w:hAnsi="Times New Roman" w:eastAsia="仿宋" w:cs="仿宋"/>
                <w:i w:val="0"/>
                <w:iCs w:val="0"/>
                <w:smallCaps w:val="0"/>
                <w:color w:val="000000"/>
                <w:kern w:val="0"/>
                <w:sz w:val="18"/>
                <w:szCs w:val="18"/>
                <w:highlight w:val="none"/>
                <w:u w:val="none"/>
                <w:lang w:val="en-US" w:eastAsia="zh-CN" w:bidi="ar"/>
              </w:rPr>
              <w:t>达到长春市考核要求</w:t>
            </w:r>
          </w:p>
        </w:tc>
        <w:tc>
          <w:tcPr>
            <w:tcW w:w="1530" w:type="dxa"/>
            <w:tcBorders>
              <w:top w:val="single" w:color="auto" w:sz="4" w:space="0"/>
              <w:left w:val="single" w:color="auto" w:sz="4" w:space="0"/>
              <w:bottom w:val="single" w:color="auto" w:sz="4" w:space="0"/>
              <w:right w:val="single" w:color="auto" w:sz="4" w:space="0"/>
            </w:tcBorders>
            <w:noWrap/>
            <w:vAlign w:val="center"/>
          </w:tcPr>
          <w:p w14:paraId="6DC36D16">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550416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约束性</w:t>
            </w:r>
          </w:p>
        </w:tc>
      </w:tr>
      <w:tr w14:paraId="3968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restart"/>
            <w:tcBorders>
              <w:top w:val="single" w:color="auto" w:sz="4" w:space="0"/>
              <w:left w:val="single" w:color="auto" w:sz="4" w:space="0"/>
              <w:right w:val="single" w:color="auto" w:sz="4" w:space="0"/>
            </w:tcBorders>
            <w:noWrap/>
            <w:vAlign w:val="center"/>
          </w:tcPr>
          <w:p w14:paraId="1F01E85D">
            <w:pPr>
              <w:keepNext w:val="0"/>
              <w:keepLines w:val="0"/>
              <w:widowControl/>
              <w:suppressLineNumbers w:val="0"/>
              <w:snapToGrid w:val="0"/>
              <w:spacing w:line="240" w:lineRule="auto"/>
              <w:ind w:left="0" w:leftChars="0" w:right="0" w:rightChars="0" w:firstLine="0" w:firstLineChars="0"/>
              <w:jc w:val="center"/>
              <w:textAlignment w:val="center"/>
              <w:rPr>
                <w:rFonts w:ascii="Times New Roman" w:hAnsi="Times New Roman" w:eastAsia="仿宋"/>
                <w:smallCaps w:val="0"/>
                <w:color w:val="000000"/>
                <w:sz w:val="22"/>
                <w:szCs w:val="16"/>
                <w:highlight w:val="none"/>
              </w:rPr>
            </w:pPr>
            <w:r>
              <w:rPr>
                <w:rFonts w:hint="eastAsia" w:ascii="Times New Roman" w:hAnsi="Times New Roman" w:eastAsia="仿宋" w:cs="仿宋"/>
                <w:i w:val="0"/>
                <w:iCs w:val="0"/>
                <w:smallCaps w:val="0"/>
                <w:color w:val="000000"/>
                <w:kern w:val="0"/>
                <w:sz w:val="22"/>
                <w:szCs w:val="22"/>
                <w:u w:val="none"/>
                <w:lang w:val="en-US" w:eastAsia="zh-CN" w:bidi="ar"/>
              </w:rPr>
              <w:t>安全</w:t>
            </w:r>
            <w:r>
              <w:rPr>
                <w:rFonts w:hint="eastAsia" w:ascii="Times New Roman" w:hAnsi="Times New Roman" w:eastAsia="仿宋" w:cs="仿宋"/>
                <w:i w:val="0"/>
                <w:iCs w:val="0"/>
                <w:smallCaps w:val="0"/>
                <w:color w:val="000000"/>
                <w:kern w:val="0"/>
                <w:sz w:val="22"/>
                <w:szCs w:val="22"/>
                <w:u w:val="none"/>
                <w:lang w:val="en-US" w:eastAsia="zh-CN" w:bidi="ar"/>
              </w:rPr>
              <w:br w:type="textWrapping"/>
            </w:r>
            <w:r>
              <w:rPr>
                <w:rFonts w:hint="eastAsia" w:ascii="Times New Roman" w:hAnsi="Times New Roman" w:eastAsia="仿宋" w:cs="仿宋"/>
                <w:i w:val="0"/>
                <w:iCs w:val="0"/>
                <w:smallCaps w:val="0"/>
                <w:color w:val="000000"/>
                <w:kern w:val="0"/>
                <w:sz w:val="22"/>
                <w:szCs w:val="22"/>
                <w:u w:val="none"/>
                <w:lang w:val="en-US" w:eastAsia="zh-CN" w:bidi="ar"/>
              </w:rPr>
              <w:t>保障</w:t>
            </w:r>
          </w:p>
        </w:tc>
        <w:tc>
          <w:tcPr>
            <w:tcW w:w="690" w:type="dxa"/>
            <w:tcBorders>
              <w:top w:val="single" w:color="auto" w:sz="4" w:space="0"/>
              <w:left w:val="single" w:color="auto" w:sz="4" w:space="0"/>
              <w:bottom w:val="single" w:color="auto" w:sz="4" w:space="0"/>
              <w:right w:val="single" w:color="auto" w:sz="4" w:space="0"/>
            </w:tcBorders>
            <w:noWrap/>
            <w:vAlign w:val="center"/>
          </w:tcPr>
          <w:p w14:paraId="4A7D339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1</w:t>
            </w:r>
            <w:r>
              <w:rPr>
                <w:rFonts w:hint="eastAsia" w:ascii="Times New Roman" w:hAnsi="Times New Roman" w:cs="仿宋"/>
                <w:i w:val="0"/>
                <w:iCs w:val="0"/>
                <w:smallCaps w:val="0"/>
                <w:color w:val="000000"/>
                <w:kern w:val="0"/>
                <w:sz w:val="22"/>
                <w:szCs w:val="22"/>
                <w:u w:val="none"/>
                <w:lang w:val="en-US" w:eastAsia="zh-CN" w:bidi="ar"/>
              </w:rPr>
              <w:t>8</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68EDBBBF">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粮食综合生产能力（亿斤）</w:t>
            </w:r>
          </w:p>
        </w:tc>
        <w:tc>
          <w:tcPr>
            <w:tcW w:w="960" w:type="dxa"/>
            <w:tcBorders>
              <w:top w:val="single" w:color="auto" w:sz="4" w:space="0"/>
              <w:left w:val="single" w:color="auto" w:sz="4" w:space="0"/>
              <w:bottom w:val="single" w:color="auto" w:sz="4" w:space="0"/>
              <w:right w:val="single" w:color="auto" w:sz="4" w:space="0"/>
            </w:tcBorders>
            <w:noWrap/>
            <w:vAlign w:val="center"/>
          </w:tcPr>
          <w:p w14:paraId="06D7C3A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57.</w:t>
            </w:r>
            <w:r>
              <w:rPr>
                <w:rFonts w:hint="eastAsia" w:ascii="Times New Roman" w:hAnsi="Times New Roman" w:cs="仿宋"/>
                <w:i w:val="0"/>
                <w:iCs w:val="0"/>
                <w:smallCaps w:val="0"/>
                <w:color w:val="000000"/>
                <w:kern w:val="0"/>
                <w:sz w:val="22"/>
                <w:szCs w:val="22"/>
                <w:u w:val="none"/>
                <w:lang w:val="en-US" w:eastAsia="zh-CN" w:bidi="ar"/>
              </w:rPr>
              <w:t>9</w:t>
            </w:r>
          </w:p>
        </w:tc>
        <w:tc>
          <w:tcPr>
            <w:tcW w:w="960" w:type="dxa"/>
            <w:tcBorders>
              <w:top w:val="single" w:color="auto" w:sz="4" w:space="0"/>
              <w:left w:val="single" w:color="auto" w:sz="4" w:space="0"/>
              <w:bottom w:val="single" w:color="auto" w:sz="4" w:space="0"/>
              <w:right w:val="single" w:color="auto" w:sz="4" w:space="0"/>
            </w:tcBorders>
            <w:noWrap/>
            <w:vAlign w:val="center"/>
          </w:tcPr>
          <w:p w14:paraId="03F86C3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60</w:t>
            </w:r>
          </w:p>
        </w:tc>
        <w:tc>
          <w:tcPr>
            <w:tcW w:w="1530" w:type="dxa"/>
            <w:tcBorders>
              <w:top w:val="single" w:color="auto" w:sz="4" w:space="0"/>
              <w:left w:val="single" w:color="auto" w:sz="4" w:space="0"/>
              <w:bottom w:val="single" w:color="auto" w:sz="4" w:space="0"/>
              <w:right w:val="single" w:color="auto" w:sz="4" w:space="0"/>
            </w:tcBorders>
            <w:noWrap/>
            <w:vAlign w:val="center"/>
          </w:tcPr>
          <w:p w14:paraId="3481187D">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2AFE8F57">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约束性</w:t>
            </w:r>
          </w:p>
        </w:tc>
      </w:tr>
      <w:tr w14:paraId="4920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87" w:type="dxa"/>
            <w:vMerge w:val="continue"/>
            <w:tcBorders>
              <w:left w:val="single" w:color="auto" w:sz="4" w:space="0"/>
              <w:bottom w:val="single" w:color="auto" w:sz="4" w:space="0"/>
              <w:right w:val="single" w:color="auto" w:sz="4" w:space="0"/>
            </w:tcBorders>
            <w:noWrap/>
            <w:vAlign w:val="center"/>
          </w:tcPr>
          <w:p w14:paraId="396605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44188EA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19</w:t>
            </w:r>
          </w:p>
        </w:tc>
        <w:tc>
          <w:tcPr>
            <w:tcW w:w="4140" w:type="dxa"/>
            <w:gridSpan w:val="3"/>
            <w:tcBorders>
              <w:top w:val="single" w:color="auto" w:sz="4" w:space="0"/>
              <w:left w:val="single" w:color="auto" w:sz="4" w:space="0"/>
              <w:bottom w:val="single" w:color="auto" w:sz="4" w:space="0"/>
              <w:right w:val="single" w:color="auto" w:sz="4" w:space="0"/>
            </w:tcBorders>
            <w:noWrap/>
            <w:vAlign w:val="center"/>
          </w:tcPr>
          <w:p w14:paraId="7E978C5E">
            <w:pPr>
              <w:keepNext w:val="0"/>
              <w:keepLines w:val="0"/>
              <w:widowControl/>
              <w:suppressLineNumbers w:val="0"/>
              <w:snapToGrid w:val="0"/>
              <w:spacing w:line="240" w:lineRule="auto"/>
              <w:ind w:left="0" w:leftChars="0" w:right="0" w:rightChars="0" w:firstLine="0" w:firstLineChars="0"/>
              <w:jc w:val="left"/>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能源综合生产能力（万吨标准煤）</w:t>
            </w:r>
          </w:p>
        </w:tc>
        <w:tc>
          <w:tcPr>
            <w:tcW w:w="960" w:type="dxa"/>
            <w:tcBorders>
              <w:top w:val="single" w:color="auto" w:sz="4" w:space="0"/>
              <w:left w:val="single" w:color="auto" w:sz="4" w:space="0"/>
              <w:bottom w:val="single" w:color="auto" w:sz="4" w:space="0"/>
              <w:right w:val="single" w:color="auto" w:sz="4" w:space="0"/>
            </w:tcBorders>
            <w:noWrap/>
            <w:vAlign w:val="center"/>
          </w:tcPr>
          <w:p w14:paraId="0134CE8B">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29.8</w:t>
            </w:r>
          </w:p>
        </w:tc>
        <w:tc>
          <w:tcPr>
            <w:tcW w:w="960" w:type="dxa"/>
            <w:tcBorders>
              <w:top w:val="single" w:color="auto" w:sz="4" w:space="0"/>
              <w:left w:val="single" w:color="auto" w:sz="4" w:space="0"/>
              <w:bottom w:val="single" w:color="auto" w:sz="4" w:space="0"/>
              <w:right w:val="single" w:color="auto" w:sz="4" w:space="0"/>
            </w:tcBorders>
            <w:noWrap/>
            <w:vAlign w:val="center"/>
          </w:tcPr>
          <w:p w14:paraId="326EDAB4">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eastAsia="仿宋" w:cs="仿宋"/>
                <w:i w:val="0"/>
                <w:iCs w:val="0"/>
                <w:smallCaps w:val="0"/>
                <w:color w:val="000000"/>
                <w:kern w:val="0"/>
                <w:sz w:val="22"/>
                <w:szCs w:val="22"/>
                <w:u w:val="none"/>
                <w:lang w:val="en-US" w:eastAsia="zh-CN" w:bidi="ar"/>
              </w:rPr>
              <w:t>33</w:t>
            </w:r>
          </w:p>
        </w:tc>
        <w:tc>
          <w:tcPr>
            <w:tcW w:w="1530" w:type="dxa"/>
            <w:tcBorders>
              <w:top w:val="single" w:color="auto" w:sz="4" w:space="0"/>
              <w:left w:val="single" w:color="auto" w:sz="4" w:space="0"/>
              <w:bottom w:val="single" w:color="auto" w:sz="4" w:space="0"/>
              <w:right w:val="single" w:color="auto" w:sz="4" w:space="0"/>
            </w:tcBorders>
            <w:noWrap/>
            <w:vAlign w:val="center"/>
          </w:tcPr>
          <w:p w14:paraId="767AC215">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w:t>
            </w:r>
          </w:p>
        </w:tc>
        <w:tc>
          <w:tcPr>
            <w:tcW w:w="1024" w:type="dxa"/>
            <w:tcBorders>
              <w:top w:val="single" w:color="auto" w:sz="4" w:space="0"/>
              <w:left w:val="single" w:color="auto" w:sz="4" w:space="0"/>
              <w:bottom w:val="single" w:color="auto" w:sz="4" w:space="0"/>
              <w:right w:val="single" w:color="auto" w:sz="4" w:space="0"/>
            </w:tcBorders>
            <w:noWrap/>
            <w:vAlign w:val="center"/>
          </w:tcPr>
          <w:p w14:paraId="3CFB2B6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仿宋" w:cs="仿宋"/>
                <w:i w:val="0"/>
                <w:iCs w:val="0"/>
                <w:smallCaps w:val="0"/>
                <w:color w:val="000000"/>
                <w:kern w:val="0"/>
                <w:sz w:val="22"/>
                <w:szCs w:val="22"/>
                <w:u w:val="none"/>
                <w:lang w:val="en-US" w:eastAsia="zh-CN" w:bidi="ar"/>
              </w:rPr>
            </w:pPr>
            <w:r>
              <w:rPr>
                <w:rFonts w:hint="eastAsia" w:ascii="Times New Roman" w:hAnsi="Times New Roman" w:cs="仿宋"/>
                <w:i w:val="0"/>
                <w:iCs w:val="0"/>
                <w:smallCaps w:val="0"/>
                <w:color w:val="000000"/>
                <w:kern w:val="0"/>
                <w:sz w:val="22"/>
                <w:szCs w:val="22"/>
                <w:u w:val="none"/>
                <w:lang w:val="en-US" w:eastAsia="zh-CN" w:bidi="ar"/>
              </w:rPr>
              <w:t>约束性</w:t>
            </w:r>
          </w:p>
        </w:tc>
      </w:tr>
    </w:tbl>
    <w:p w14:paraId="16E2523E">
      <w:pPr>
        <w:ind w:left="0" w:leftChars="0" w:firstLine="0" w:firstLineChars="0"/>
        <w:rPr>
          <w:rFonts w:hint="default" w:ascii="Times New Roman" w:hAnsi="Times New Roman" w:eastAsia="仿宋"/>
          <w:lang w:val="en-US" w:eastAsia="zh-CN"/>
        </w:rPr>
      </w:pPr>
      <w:r>
        <w:rPr>
          <w:rFonts w:hint="eastAsia" w:ascii="Times New Roman" w:hAnsi="Times New Roman" w:eastAsia="楷体" w:cs="楷体"/>
          <w:sz w:val="21"/>
          <w:szCs w:val="18"/>
          <w:lang w:val="en-US" w:eastAsia="zh-CN"/>
        </w:rPr>
        <w:t>注：①〔〕内为5年累计数。②带</w:t>
      </w:r>
      <w:r>
        <w:rPr>
          <w:rFonts w:hint="eastAsia" w:ascii="Times New Roman" w:hAnsi="Times New Roman" w:cs="仿宋"/>
          <w:i w:val="0"/>
          <w:iCs w:val="0"/>
          <w:smallCaps w:val="0"/>
          <w:color w:val="000000"/>
          <w:kern w:val="0"/>
          <w:sz w:val="22"/>
          <w:szCs w:val="22"/>
          <w:u w:val="none"/>
          <w:lang w:val="en-US" w:eastAsia="zh-CN" w:bidi="ar"/>
        </w:rPr>
        <w:t>*的为2024年数据。</w:t>
      </w:r>
    </w:p>
    <w:p w14:paraId="0A06C892">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Times New Roman" w:hAnsi="Times New Roman"/>
          <w:smallCaps w:val="0"/>
          <w:color w:val="000000" w:themeColor="text1"/>
          <w:highlight w:val="none"/>
          <w14:textFill>
            <w14:solidFill>
              <w14:schemeClr w14:val="tx1"/>
            </w14:solidFill>
          </w14:textFill>
        </w:rPr>
      </w:pPr>
    </w:p>
    <w:p w14:paraId="33718969">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smallCaps w:val="0"/>
          <w:color w:val="000000" w:themeColor="text1"/>
          <w:highlight w:val="none"/>
          <w14:textFill>
            <w14:solidFill>
              <w14:schemeClr w14:val="tx1"/>
            </w14:solidFill>
          </w14:textFill>
        </w:rPr>
      </w:pPr>
      <w:bookmarkStart w:id="55" w:name="_Toc25899"/>
      <w:r>
        <w:rPr>
          <w:rFonts w:hint="eastAsia" w:ascii="Times New Roman" w:hAnsi="Times New Roman"/>
          <w:smallCaps w:val="0"/>
          <w:color w:val="000000" w:themeColor="text1"/>
          <w:highlight w:val="none"/>
          <w14:textFill>
            <w14:solidFill>
              <w14:schemeClr w14:val="tx1"/>
            </w14:solidFill>
          </w14:textFill>
        </w:rPr>
        <w:t>第二章 共建长春现代化都市圈，推进全域协调发展</w:t>
      </w:r>
      <w:bookmarkEnd w:id="52"/>
      <w:bookmarkEnd w:id="53"/>
      <w:bookmarkEnd w:id="54"/>
      <w:bookmarkEnd w:id="55"/>
    </w:p>
    <w:p w14:paraId="623AC272">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highlight w:val="none"/>
          <w14:textFill>
            <w14:solidFill>
              <w14:schemeClr w14:val="tx1"/>
            </w14:solidFill>
          </w14:textFill>
        </w:rPr>
      </w:pPr>
    </w:p>
    <w:p w14:paraId="4674FB27">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统筹优化农业、生态、城镇三大空间格局，构建</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三区一带多点</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产业发展布局，</w:t>
      </w:r>
      <w:r>
        <w:rPr>
          <w:rFonts w:hint="eastAsia" w:ascii="Times New Roman" w:hAnsi="Times New Roman" w:cs="仿宋"/>
          <w:smallCaps w:val="0"/>
          <w:color w:val="000000" w:themeColor="text1"/>
          <w:highlight w:val="none"/>
          <w:lang w:val="en-US" w:eastAsia="zh-CN"/>
          <w14:textFill>
            <w14:solidFill>
              <w14:schemeClr w14:val="tx1"/>
            </w14:solidFill>
          </w14:textFill>
        </w:rPr>
        <w:t>共建</w:t>
      </w:r>
      <w:r>
        <w:rPr>
          <w:rFonts w:hint="eastAsia" w:ascii="Times New Roman" w:hAnsi="Times New Roman" w:cs="仿宋"/>
          <w:smallCaps w:val="0"/>
          <w:color w:val="000000" w:themeColor="text1"/>
          <w:highlight w:val="none"/>
          <w14:textFill>
            <w14:solidFill>
              <w14:schemeClr w14:val="tx1"/>
            </w14:solidFill>
          </w14:textFill>
        </w:rPr>
        <w:t>长春现代化都市圈，推动产城融合、城乡一体、区域协同发展，着力形成市域空间结构清晰、生产空间集约高效、生活空间宜居适度、生态空间山清水秀的协调发展新格局。</w:t>
      </w:r>
    </w:p>
    <w:p w14:paraId="01177898">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56" w:name="_Toc8850"/>
      <w:bookmarkStart w:id="57" w:name="_Toc14717"/>
      <w:bookmarkStart w:id="58" w:name="_Toc11988"/>
      <w:bookmarkStart w:id="59" w:name="_Toc11175"/>
      <w:bookmarkStart w:id="60" w:name="_Toc5415"/>
      <w:bookmarkStart w:id="61" w:name="_Toc2677"/>
      <w:bookmarkStart w:id="62" w:name="_Toc25226"/>
      <w:bookmarkStart w:id="63" w:name="_Toc26540"/>
      <w:r>
        <w:rPr>
          <w:rFonts w:hint="eastAsia" w:ascii="Times New Roman" w:hAnsi="Times New Roman"/>
          <w:smallCaps w:val="0"/>
          <w:color w:val="000000" w:themeColor="text1"/>
          <w:highlight w:val="none"/>
          <w14:textFill>
            <w14:solidFill>
              <w14:schemeClr w14:val="tx1"/>
            </w14:solidFill>
          </w14:textFill>
        </w:rPr>
        <w:t>第一节 塑造国土空间基础格局</w:t>
      </w:r>
      <w:bookmarkEnd w:id="56"/>
      <w:bookmarkEnd w:id="57"/>
      <w:bookmarkEnd w:id="58"/>
      <w:bookmarkEnd w:id="59"/>
      <w:bookmarkEnd w:id="60"/>
      <w:bookmarkEnd w:id="61"/>
      <w:bookmarkEnd w:id="62"/>
      <w:bookmarkEnd w:id="63"/>
    </w:p>
    <w:p w14:paraId="3CA5C440">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夯实区域空间发展底线。</w:t>
      </w:r>
      <w:r>
        <w:rPr>
          <w:rFonts w:hint="eastAsia" w:ascii="Times New Roman" w:hAnsi="Times New Roman" w:cs="仿宋"/>
          <w:smallCaps w:val="0"/>
          <w:color w:val="000000" w:themeColor="text1"/>
          <w:highlight w:val="none"/>
          <w14:textFill>
            <w14:solidFill>
              <w14:schemeClr w14:val="tx1"/>
            </w14:solidFill>
          </w14:textFill>
        </w:rPr>
        <w:t>将</w:t>
      </w:r>
      <w:r>
        <w:rPr>
          <w:rFonts w:hint="eastAsia" w:ascii="Times New Roman" w:hAnsi="Times New Roman" w:cs="仿宋"/>
          <w:smallCaps w:val="0"/>
          <w:color w:val="000000" w:themeColor="text1"/>
          <w:highlight w:val="none"/>
          <w:lang w:val="en-US" w:eastAsia="zh-CN"/>
          <w14:textFill>
            <w14:solidFill>
              <w14:schemeClr w14:val="tx1"/>
            </w14:solidFill>
          </w14:textFill>
        </w:rPr>
        <w:t>符合条件的</w:t>
      </w:r>
      <w:r>
        <w:rPr>
          <w:rFonts w:hint="eastAsia" w:ascii="Times New Roman" w:hAnsi="Times New Roman" w:cs="仿宋"/>
          <w:smallCaps w:val="0"/>
          <w:color w:val="000000" w:themeColor="text1"/>
          <w:highlight w:val="none"/>
          <w14:textFill>
            <w14:solidFill>
              <w14:schemeClr w14:val="tx1"/>
            </w14:solidFill>
          </w14:textFill>
        </w:rPr>
        <w:t>耕地纳入保护目标，优先将长期稳定利用耕地划为永久基本农田，实行差别化耕地保护，确保耕地保有量不低于483.39万亩，永久基本农田保护面积不低于401.56万亩。将自然保护地、饮用水源地一级保护区、国家一级公益林等生态极重要区划入生态保护红线，面积控制在94.92平方千米。以主城区、</w:t>
      </w:r>
      <w:r>
        <w:rPr>
          <w:rFonts w:hint="eastAsia" w:ascii="Times New Roman" w:hAnsi="Times New Roman" w:cs="仿宋"/>
          <w:smallCaps w:val="0"/>
          <w:color w:val="000000" w:themeColor="text1"/>
          <w:highlight w:val="none"/>
          <w:lang w:val="en-US" w:eastAsia="zh-CN"/>
          <w14:textFill>
            <w14:solidFill>
              <w14:schemeClr w14:val="tx1"/>
            </w14:solidFill>
          </w14:textFill>
        </w:rPr>
        <w:t>长春国家</w:t>
      </w:r>
      <w:r>
        <w:rPr>
          <w:rFonts w:hint="eastAsia" w:ascii="Times New Roman" w:hAnsi="Times New Roman" w:cs="仿宋"/>
          <w:smallCaps w:val="0"/>
          <w:color w:val="000000" w:themeColor="text1"/>
          <w:highlight w:val="none"/>
          <w14:textFill>
            <w14:solidFill>
              <w14:schemeClr w14:val="tx1"/>
            </w14:solidFill>
          </w14:textFill>
        </w:rPr>
        <w:t>农高区、</w:t>
      </w:r>
      <w:r>
        <w:rPr>
          <w:rFonts w:hint="eastAsia" w:ascii="Times New Roman" w:hAnsi="Times New Roman" w:cs="仿宋"/>
          <w:smallCaps w:val="0"/>
          <w:color w:val="000000" w:themeColor="text1"/>
          <w:highlight w:val="none"/>
          <w:lang w:eastAsia="zh-CN"/>
          <w14:textFill>
            <w14:solidFill>
              <w14:schemeClr w14:val="tx1"/>
            </w14:solidFill>
          </w14:textFill>
        </w:rPr>
        <w:t>公主岭经济开发区</w:t>
      </w:r>
      <w:r>
        <w:rPr>
          <w:rFonts w:hint="eastAsia" w:ascii="Times New Roman" w:hAnsi="Times New Roman" w:cs="仿宋"/>
          <w:smallCaps w:val="0"/>
          <w:color w:val="000000" w:themeColor="text1"/>
          <w:highlight w:val="none"/>
          <w14:textFill>
            <w14:solidFill>
              <w14:schemeClr w14:val="tx1"/>
            </w14:solidFill>
          </w14:textFill>
        </w:rPr>
        <w:t>、</w:t>
      </w:r>
      <w:r>
        <w:rPr>
          <w:rFonts w:hint="eastAsia" w:ascii="Times New Roman" w:hAnsi="Times New Roman" w:cs="仿宋"/>
          <w:smallCaps w:val="0"/>
          <w:color w:val="000000" w:themeColor="text1"/>
          <w:highlight w:val="none"/>
          <w:lang w:val="en-US" w:eastAsia="zh-CN"/>
          <w14:textFill>
            <w14:solidFill>
              <w14:schemeClr w14:val="tx1"/>
            </w14:solidFill>
          </w14:textFill>
        </w:rPr>
        <w:t>长春大岭经济开发区</w:t>
      </w:r>
      <w:r>
        <w:rPr>
          <w:rFonts w:hint="eastAsia" w:ascii="Times New Roman" w:hAnsi="Times New Roman" w:cs="仿宋"/>
          <w:smallCaps w:val="0"/>
          <w:color w:val="000000" w:themeColor="text1"/>
          <w:highlight w:val="none"/>
          <w14:textFill>
            <w14:solidFill>
              <w14:schemeClr w14:val="tx1"/>
            </w14:solidFill>
          </w14:textFill>
        </w:rPr>
        <w:t>、范家屯镇、大岭镇及重大产业承载空间为重点，城镇开发边界面积控制在126.50平方千米，其中主城区城镇开发边界控制在49.30平方千米。</w:t>
      </w:r>
    </w:p>
    <w:p w14:paraId="649767DF">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细化落实主体功能分区。</w:t>
      </w:r>
      <w:r>
        <w:rPr>
          <w:rFonts w:hint="eastAsia" w:ascii="Times New Roman" w:hAnsi="Times New Roman" w:cs="仿宋"/>
          <w:smallCaps w:val="0"/>
          <w:color w:val="000000" w:themeColor="text1"/>
          <w:highlight w:val="none"/>
          <w14:textFill>
            <w14:solidFill>
              <w14:schemeClr w14:val="tx1"/>
            </w14:solidFill>
          </w14:textFill>
        </w:rPr>
        <w:t>推动主体功能区战略落地实施，严格落实省</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市布局要求，将主城区、苇子沟街道、环岭街道、刘房子街道、南崴子街道、大岭镇、范家屯镇划为城市化发展区，其余区域划为农产品主产区。城市化地区突出102隆起带引领作用，促进三大经济主战场协同，优化空间资源与政策配置。农产品主产区控制开发强度，结合人口变化引导镇村集中集聚发展。</w:t>
      </w:r>
    </w:p>
    <w:p w14:paraId="17080DC6">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构建开发保护总体格局。</w:t>
      </w:r>
      <w:r>
        <w:rPr>
          <w:rFonts w:hint="eastAsia" w:ascii="Times New Roman" w:hAnsi="Times New Roman" w:cs="仿宋"/>
          <w:smallCaps w:val="0"/>
          <w:color w:val="000000" w:themeColor="text1"/>
          <w:highlight w:val="none"/>
          <w14:textFill>
            <w14:solidFill>
              <w14:schemeClr w14:val="tx1"/>
            </w14:solidFill>
          </w14:textFill>
        </w:rPr>
        <w:t>构建“两廊四区、双核双轴”总体格局。以主要河流为骨架，建设西部东辽河、东部新凯河两条生态廊道，筑牢生态安全屏障。依托自然本底条件，布局北部农牧业发展区、中部黄金玉米种植区、东部都市功能提升区、南部生态绿色发展区，精准实施国土空间政策。统筹提升主城区和范家屯—大岭连片区域发展能级，强化极核带动。依托交通干线，打造长深高速沿线现代农业生产服务轴和102隆起带城乡融合发展轴，增强重点区域新质生产力集聚与辐射能力。</w:t>
      </w:r>
    </w:p>
    <w:p w14:paraId="0C668AE5">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64" w:name="_Toc888"/>
      <w:bookmarkStart w:id="65" w:name="_Toc27025"/>
      <w:bookmarkStart w:id="66" w:name="_Toc31172"/>
      <w:bookmarkStart w:id="67" w:name="_Toc2249"/>
      <w:bookmarkStart w:id="68" w:name="_Toc14754"/>
      <w:bookmarkStart w:id="69" w:name="_Toc16597"/>
      <w:r>
        <w:rPr>
          <w:rFonts w:hint="eastAsia" w:ascii="Times New Roman" w:hAnsi="Times New Roman"/>
          <w:smallCaps w:val="0"/>
          <w:color w:val="000000" w:themeColor="text1"/>
          <w:highlight w:val="none"/>
          <w14:textFill>
            <w14:solidFill>
              <w14:schemeClr w14:val="tx1"/>
            </w14:solidFill>
          </w14:textFill>
        </w:rPr>
        <w:t xml:space="preserve">第二节 </w:t>
      </w:r>
      <w:bookmarkEnd w:id="64"/>
      <w:bookmarkEnd w:id="65"/>
      <w:r>
        <w:rPr>
          <w:rFonts w:hint="eastAsia" w:ascii="Times New Roman" w:hAnsi="Times New Roman"/>
          <w:smallCaps w:val="0"/>
          <w:color w:val="000000" w:themeColor="text1"/>
          <w:highlight w:val="none"/>
          <w14:textFill>
            <w14:solidFill>
              <w14:schemeClr w14:val="tx1"/>
            </w14:solidFill>
          </w14:textFill>
        </w:rPr>
        <w:t>构建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三区一带多点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布局</w:t>
      </w:r>
      <w:bookmarkEnd w:id="66"/>
      <w:bookmarkEnd w:id="67"/>
      <w:bookmarkEnd w:id="68"/>
      <w:bookmarkEnd w:id="69"/>
    </w:p>
    <w:p w14:paraId="15E59EF6">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推动主城区、长春国家农高区和省级开发区三大经济主战场建设，强化102隆起带串联功能，稳妥推进经济布局向北向西有序扩散，带动公主岭全域发展，形成三区联动、一带隆起、多点共振的发展态势，打造具有公主岭特色的经济发展新空间。</w:t>
      </w:r>
    </w:p>
    <w:p w14:paraId="1F2A26E0">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主城区。</w:t>
      </w:r>
      <w:r>
        <w:rPr>
          <w:rFonts w:hint="eastAsia" w:ascii="Times New Roman" w:hAnsi="Times New Roman" w:cs="仿宋"/>
          <w:smallCaps w:val="0"/>
          <w:color w:val="000000" w:themeColor="text1"/>
          <w:highlight w:val="none"/>
          <w14:textFill>
            <w14:solidFill>
              <w14:schemeClr w14:val="tx1"/>
            </w14:solidFill>
          </w14:textFill>
        </w:rPr>
        <w:t>加快推动服务业集聚发展，全力打造长春</w:t>
      </w:r>
      <w:r>
        <w:rPr>
          <w:rFonts w:hint="eastAsia" w:ascii="Times New Roman" w:hAnsi="Times New Roman" w:cs="仿宋"/>
          <w:smallCaps w:val="0"/>
          <w:color w:val="000000" w:themeColor="text1"/>
          <w:highlight w:val="none"/>
          <w:lang w:val="en-US" w:eastAsia="zh-CN"/>
          <w14:textFill>
            <w14:solidFill>
              <w14:schemeClr w14:val="tx1"/>
            </w14:solidFill>
          </w14:textFill>
        </w:rPr>
        <w:t>市域</w:t>
      </w:r>
      <w:r>
        <w:rPr>
          <w:rFonts w:hint="eastAsia" w:ascii="Times New Roman" w:hAnsi="Times New Roman" w:cs="仿宋"/>
          <w:smallCaps w:val="0"/>
          <w:color w:val="000000" w:themeColor="text1"/>
          <w:highlight w:val="none"/>
          <w14:textFill>
            <w14:solidFill>
              <w14:schemeClr w14:val="tx1"/>
            </w14:solidFill>
          </w14:textFill>
        </w:rPr>
        <w:t>副中心。完善县域商业体系，提质改造核心商圈与特色街区，提升岭西区域存量商贸服务功能，丰富高铁站周边商业业态，在新建市政设施中融入文化创意元素，塑造特色鲜明的城市IP。全力建设“主城”消费核心增长极，创新消费场景，提升科教文卫综合服务能力，培育“美食”“夜食”“步行”等特色街区，辐射带动周边街道协同发展，打造县域经济重要增长引擎。</w:t>
      </w:r>
    </w:p>
    <w:p w14:paraId="05FB5E79">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eastAsia" w:ascii="Times New Roman" w:hAnsi="Times New Roman" w:cs="仿宋"/>
          <w:b w:val="0"/>
          <w:bCs w:val="0"/>
          <w:smallCaps w:val="0"/>
          <w:color w:val="000000" w:themeColor="text1"/>
          <w:highlight w:val="none"/>
          <w:lang w:eastAsia="zh-CN"/>
          <w14:textFill>
            <w14:solidFill>
              <w14:schemeClr w14:val="tx1"/>
            </w14:solidFill>
          </w14:textFill>
        </w:rPr>
      </w:pPr>
      <w:r>
        <w:rPr>
          <w:rFonts w:hint="eastAsia" w:ascii="Times New Roman" w:hAnsi="Times New Roman" w:cs="仿宋"/>
          <w:b/>
          <w:bCs/>
          <w:smallCaps w:val="0"/>
          <w:color w:val="000000" w:themeColor="text1"/>
          <w:highlight w:val="none"/>
          <w:lang w:val="en-US" w:eastAsia="zh-CN"/>
          <w14:textFill>
            <w14:solidFill>
              <w14:schemeClr w14:val="tx1"/>
            </w14:solidFill>
          </w14:textFill>
        </w:rPr>
        <w:t>长春国家农高区。</w:t>
      </w:r>
      <w:r>
        <w:rPr>
          <w:rFonts w:hint="eastAsia" w:ascii="Times New Roman" w:hAnsi="Times New Roman" w:cs="仿宋"/>
          <w:b w:val="0"/>
          <w:bCs w:val="0"/>
          <w:smallCaps w:val="0"/>
          <w:color w:val="000000" w:themeColor="text1"/>
          <w:highlight w:val="none"/>
          <w:lang w:val="en-US" w:eastAsia="zh-CN"/>
          <w14:textFill>
            <w14:solidFill>
              <w14:schemeClr w14:val="tx1"/>
            </w14:solidFill>
          </w14:textFill>
        </w:rPr>
        <w:t>紧扣玉米全产业链高质量发展主线，推动科技创新和产业创新深度融合，加快发展农业新质生产力，统筹发展科技农业、绿色农业、质量农业、品牌农业，全力构建现代化大农业产业体系，着力打造区域特色鲜明的现代农业创新高地、人才高地、产业高地，建设玉米新质生产力引领区、现代化大农业创新驱动发展样板区、东北地区农业农村现代化先行区，重点发展现代种业、玉米精深加工及食品、智慧设施、农机装备、生物制造五大产业集群。</w:t>
      </w:r>
    </w:p>
    <w:p w14:paraId="747854D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eastAsia" w:ascii="Times New Roman" w:hAnsi="Times New Roman" w:cs="仿宋"/>
          <w:b w:val="0"/>
          <w:bCs w:val="0"/>
          <w:smallCaps w:val="0"/>
          <w:color w:val="000000" w:themeColor="text1"/>
          <w:highlight w:val="none"/>
          <w:lang w:eastAsia="zh-CN"/>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经济开发区。</w:t>
      </w:r>
      <w:r>
        <w:rPr>
          <w:rFonts w:hint="eastAsia" w:ascii="Times New Roman" w:hAnsi="Times New Roman" w:cs="仿宋"/>
          <w:b w:val="0"/>
          <w:bCs w:val="0"/>
          <w:smallCaps w:val="0"/>
          <w:color w:val="000000" w:themeColor="text1"/>
          <w:highlight w:val="none"/>
          <w:lang w:eastAsia="zh-CN"/>
          <w14:textFill>
            <w14:solidFill>
              <w14:schemeClr w14:val="tx1"/>
            </w14:solidFill>
          </w14:textFill>
        </w:rPr>
        <w:t>推动公主岭经济开发区与</w:t>
      </w:r>
      <w:r>
        <w:rPr>
          <w:rFonts w:hint="eastAsia" w:ascii="Times New Roman" w:hAnsi="Times New Roman" w:cs="仿宋"/>
          <w:b w:val="0"/>
          <w:bCs w:val="0"/>
          <w:smallCaps w:val="0"/>
          <w:color w:val="000000" w:themeColor="text1"/>
          <w:highlight w:val="none"/>
          <w:lang w:val="en-US" w:eastAsia="zh-CN"/>
          <w14:textFill>
            <w14:solidFill>
              <w14:schemeClr w14:val="tx1"/>
            </w14:solidFill>
          </w14:textFill>
        </w:rPr>
        <w:t>长春大岭经济开发区</w:t>
      </w:r>
      <w:r>
        <w:rPr>
          <w:rFonts w:hint="eastAsia" w:ascii="Times New Roman" w:hAnsi="Times New Roman" w:cs="仿宋"/>
          <w:b w:val="0"/>
          <w:bCs w:val="0"/>
          <w:smallCaps w:val="0"/>
          <w:color w:val="000000" w:themeColor="text1"/>
          <w:highlight w:val="none"/>
          <w:lang w:eastAsia="zh-CN"/>
          <w14:textFill>
            <w14:solidFill>
              <w14:schemeClr w14:val="tx1"/>
            </w14:solidFill>
          </w14:textFill>
        </w:rPr>
        <w:t>协同联动，共同建设成为长春市科技创新成果转化的重要生产基地、制造业从业人员技能实训基地，以及全省乃至东北地区重要的县域新质生产力发展高地，打造成为长春现代化都市圈“八组团”中的先锋力量和主力支撑。公主岭经济开发区聚焦做强汽车及零部件制造、机械电子、现代物流三大主导产业，培育壮大绿色农业、温泉康养两大特色产业，构建“3+2”现代产业体系，努力建成中国一汽重要的汽车零部件智能制造基地。</w:t>
      </w:r>
      <w:r>
        <w:rPr>
          <w:rFonts w:hint="eastAsia" w:ascii="Times New Roman" w:hAnsi="Times New Roman" w:cs="仿宋"/>
          <w:b w:val="0"/>
          <w:bCs w:val="0"/>
          <w:smallCaps w:val="0"/>
          <w:color w:val="000000" w:themeColor="text1"/>
          <w:highlight w:val="none"/>
          <w:lang w:val="en-US" w:eastAsia="zh-CN"/>
          <w14:textFill>
            <w14:solidFill>
              <w14:schemeClr w14:val="tx1"/>
            </w14:solidFill>
          </w14:textFill>
        </w:rPr>
        <w:t>长春大岭经济开发区</w:t>
      </w:r>
      <w:r>
        <w:rPr>
          <w:rFonts w:hint="eastAsia" w:ascii="Times New Roman" w:hAnsi="Times New Roman" w:cs="仿宋"/>
          <w:b w:val="0"/>
          <w:bCs w:val="0"/>
          <w:smallCaps w:val="0"/>
          <w:color w:val="000000" w:themeColor="text1"/>
          <w:highlight w:val="none"/>
          <w:lang w:eastAsia="zh-CN"/>
          <w14:textFill>
            <w14:solidFill>
              <w14:schemeClr w14:val="tx1"/>
            </w14:solidFill>
          </w14:textFill>
        </w:rPr>
        <w:t>重点发展高端制造、新能源、现代服务业，因地制宜培育文旅康养、高等教育等配套产业，加快打造成为长春西部重要的经济增长极。</w:t>
      </w:r>
    </w:p>
    <w:p w14:paraId="444E8BB4">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102隆起带。</w:t>
      </w:r>
      <w:r>
        <w:rPr>
          <w:rFonts w:hint="eastAsia" w:ascii="Times New Roman" w:hAnsi="Times New Roman" w:cs="仿宋"/>
          <w:smallCaps w:val="0"/>
          <w:color w:val="000000" w:themeColor="text1"/>
          <w:highlight w:val="none"/>
          <w14:textFill>
            <w14:solidFill>
              <w14:schemeClr w14:val="tx1"/>
            </w14:solidFill>
          </w14:textFill>
        </w:rPr>
        <w:t>依托长平交通轴线，促进三大经济主战场相向发展、协同联动，打造公主岭重要产业载体串联轴，培育打造汽车及零部件、现代物流、现代种业、鲜食玉米、畜禽加工、都市农业、智能农机、都市休闲、教育文化等产业集群，推动项目向陶家屯、南崴子等相对薄弱区域布局，推动响水、朝阳坡、黑林子、二十家子等乡镇融入隆起带，建立议事协调机制，明确细化功能分区，着力打造产城融合的城镇示范带、三产融合的产业示范带、开放包容的文化引领带。</w:t>
      </w:r>
    </w:p>
    <w:p w14:paraId="219122A8">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eastAsia" w:ascii="Times New Roman" w:hAnsi="Times New Roman" w:eastAsia="仿宋" w:cs="仿宋"/>
          <w:smallCaps w:val="0"/>
          <w:color w:val="000000" w:themeColor="text1"/>
          <w:sz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多点联动发展。</w:t>
      </w:r>
      <w:r>
        <w:rPr>
          <w:rFonts w:hint="eastAsia" w:ascii="Times New Roman" w:hAnsi="Times New Roman" w:eastAsia="仿宋" w:cs="仿宋"/>
          <w:smallCaps w:val="0"/>
          <w:color w:val="000000" w:themeColor="text1"/>
          <w:sz w:val="32"/>
          <w:highlight w:val="none"/>
          <w14:textFill>
            <w14:solidFill>
              <w14:schemeClr w14:val="tx1"/>
            </w14:solidFill>
          </w14:textFill>
        </w:rPr>
        <w:t>依托公长、公永、范大、牙四等南北向公路通道，积极构建区域协调发展大通道，强化沿线乡镇与三大经济主战场、102隆起带的经济联系。支持怀德、秦家屯、杨大城子、桑树台</w:t>
      </w:r>
      <w:r>
        <w:rPr>
          <w:rFonts w:hint="eastAsia" w:ascii="Times New Roman" w:hAnsi="Times New Roman" w:cs="仿宋"/>
          <w:smallCaps w:val="0"/>
          <w:color w:val="000000" w:themeColor="text1"/>
          <w:sz w:val="32"/>
          <w:highlight w:val="none"/>
          <w:lang w:eastAsia="zh-CN"/>
          <w14:textFill>
            <w14:solidFill>
              <w14:schemeClr w14:val="tx1"/>
            </w14:solidFill>
          </w14:textFill>
        </w:rPr>
        <w:t>、</w:t>
      </w:r>
      <w:r>
        <w:rPr>
          <w:rFonts w:hint="eastAsia" w:ascii="Times New Roman" w:hAnsi="Times New Roman" w:cs="仿宋"/>
          <w:smallCaps w:val="0"/>
          <w:color w:val="000000" w:themeColor="text1"/>
          <w:sz w:val="32"/>
          <w:highlight w:val="none"/>
          <w:lang w:val="en-US" w:eastAsia="zh-CN"/>
          <w14:textFill>
            <w14:solidFill>
              <w14:schemeClr w14:val="tx1"/>
            </w14:solidFill>
          </w14:textFill>
        </w:rPr>
        <w:t>响水</w:t>
      </w:r>
      <w:r>
        <w:rPr>
          <w:rFonts w:hint="eastAsia" w:ascii="Times New Roman" w:hAnsi="Times New Roman" w:eastAsia="仿宋" w:cs="仿宋"/>
          <w:smallCaps w:val="0"/>
          <w:color w:val="000000" w:themeColor="text1"/>
          <w:sz w:val="32"/>
          <w:highlight w:val="none"/>
          <w14:textFill>
            <w14:solidFill>
              <w14:schemeClr w14:val="tx1"/>
            </w14:solidFill>
          </w14:textFill>
        </w:rPr>
        <w:t>等乡镇立足产业基础和区位条件，打造县域发展特色节点；推动其他乡镇建设成为市镇乡村体系中的重要联动节点。促进乡镇间协同推进黑土地保护、畜禽养殖、特色产业培育、和美乡村建设、生态环境保护、幸福公主岭、法治公主岭等重点任务，积极承接</w:t>
      </w:r>
      <w:r>
        <w:rPr>
          <w:rFonts w:hint="eastAsia" w:ascii="Times New Roman" w:hAnsi="Times New Roman" w:cs="仿宋"/>
          <w:smallCaps w:val="0"/>
          <w:color w:val="000000" w:themeColor="text1"/>
          <w:sz w:val="32"/>
          <w:highlight w:val="none"/>
          <w:lang w:val="en-US" w:eastAsia="zh-CN"/>
          <w14:textFill>
            <w14:solidFill>
              <w14:schemeClr w14:val="tx1"/>
            </w14:solidFill>
          </w14:textFill>
        </w:rPr>
        <w:t>长春</w:t>
      </w:r>
      <w:r>
        <w:rPr>
          <w:rFonts w:hint="eastAsia" w:ascii="Times New Roman" w:hAnsi="Times New Roman" w:eastAsia="仿宋" w:cs="仿宋"/>
          <w:smallCaps w:val="0"/>
          <w:color w:val="000000" w:themeColor="text1"/>
          <w:sz w:val="32"/>
          <w:highlight w:val="none"/>
          <w14:textFill>
            <w14:solidFill>
              <w14:schemeClr w14:val="tx1"/>
            </w14:solidFill>
          </w14:textFill>
        </w:rPr>
        <w:t>国家农高区科技成果落地转化。稳妥发展“一村一品”“一镇一业”，形成全域协调、联动共进的发展新格局。</w:t>
      </w:r>
    </w:p>
    <w:p w14:paraId="10142D75">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70" w:name="_Toc29479"/>
      <w:bookmarkStart w:id="71" w:name="_Toc1616"/>
      <w:bookmarkStart w:id="72" w:name="_Toc24785"/>
      <w:bookmarkStart w:id="73" w:name="_Toc13529"/>
      <w:bookmarkStart w:id="74" w:name="_Toc22209"/>
      <w:bookmarkStart w:id="75" w:name="_Toc9415"/>
      <w:r>
        <w:rPr>
          <w:rFonts w:hint="eastAsia" w:ascii="Times New Roman" w:hAnsi="Times New Roman"/>
          <w:smallCaps w:val="0"/>
          <w:color w:val="000000" w:themeColor="text1"/>
          <w:highlight w:val="none"/>
          <w14:textFill>
            <w14:solidFill>
              <w14:schemeClr w14:val="tx1"/>
            </w14:solidFill>
          </w14:textFill>
        </w:rPr>
        <w:t>第三节 共建长春现代化都市圈</w:t>
      </w:r>
      <w:bookmarkEnd w:id="70"/>
      <w:bookmarkEnd w:id="71"/>
      <w:bookmarkEnd w:id="72"/>
      <w:bookmarkEnd w:id="73"/>
      <w:bookmarkEnd w:id="74"/>
      <w:bookmarkEnd w:id="75"/>
    </w:p>
    <w:p w14:paraId="235B7141">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立足长春、四平连接节点的区位优势，落实《长春都市圈</w:t>
      </w:r>
      <w:r>
        <w:rPr>
          <w:rFonts w:hint="eastAsia" w:ascii="Times New Roman" w:hAnsi="Times New Roman" w:cs="仿宋"/>
          <w:smallCaps w:val="0"/>
          <w:color w:val="000000" w:themeColor="text1"/>
          <w:highlight w:val="none"/>
          <w:lang w:val="en-US" w:eastAsia="zh-CN"/>
          <w14:textFill>
            <w14:solidFill>
              <w14:schemeClr w14:val="tx1"/>
            </w14:solidFill>
          </w14:textFill>
        </w:rPr>
        <w:t>发展</w:t>
      </w:r>
      <w:r>
        <w:rPr>
          <w:rFonts w:hint="eastAsia" w:ascii="Times New Roman" w:hAnsi="Times New Roman" w:cs="仿宋"/>
          <w:smallCaps w:val="0"/>
          <w:color w:val="000000" w:themeColor="text1"/>
          <w:highlight w:val="none"/>
          <w14:textFill>
            <w14:solidFill>
              <w14:schemeClr w14:val="tx1"/>
            </w14:solidFill>
          </w14:textFill>
        </w:rPr>
        <w:t>规划》，承接产业外溢与人口转移，突出打造都市圈先进制造产业带、现代农业产业带、能源产业带和文旅产业带的重要承载区，培育建设范家屯组团和大岭组团。</w:t>
      </w:r>
    </w:p>
    <w:p w14:paraId="4614F1D6">
      <w:pPr>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Times New Roman" w:hAnsi="Times New Roman" w:eastAsia="仿宋" w:cs="仿宋"/>
          <w:smallCaps w:val="0"/>
          <w:color w:val="000000" w:themeColor="text1"/>
          <w:sz w:val="32"/>
          <w:highlight w:val="none"/>
          <w:lang w:eastAsia="zh-CN"/>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产业联动发展。</w:t>
      </w:r>
      <w:r>
        <w:rPr>
          <w:rFonts w:hint="eastAsia" w:ascii="Times New Roman" w:hAnsi="Times New Roman" w:eastAsia="仿宋" w:cs="仿宋"/>
          <w:smallCaps w:val="0"/>
          <w:color w:val="000000" w:themeColor="text1"/>
          <w:sz w:val="32"/>
          <w:highlight w:val="none"/>
          <w14:textFill>
            <w14:solidFill>
              <w14:schemeClr w14:val="tx1"/>
            </w14:solidFill>
          </w14:textFill>
        </w:rPr>
        <w:t>积极融入长春现代化都市圈产业体系，加快建设先进制造产业带和能源产业带重要承载区。做强汽车及零部件产业，推动新能源与智能化转型，发挥链主企业带动作用，延伸产业链条，拓展后市场服务。壮大智能农机装备产业，支持现有企业升级，加快激光除草机、智能籽粒收割机等产品研发与产业化。提升农产品精深加工水平，建设国家级全株玉米产业示范基地，促进肉牛产业多元发展。培育新能源产业集群，聚焦风电、光伏装备制造，推动储能电站、增量配电网等重大项目落地。</w:t>
      </w:r>
      <w:r>
        <w:rPr>
          <w:rFonts w:hint="eastAsia" w:ascii="Times New Roman" w:hAnsi="Times New Roman" w:cs="仿宋"/>
          <w:smallCaps w:val="0"/>
          <w:color w:val="000000" w:themeColor="text1"/>
          <w:sz w:val="32"/>
          <w:highlight w:val="none"/>
          <w:lang w:eastAsia="zh-CN"/>
          <w14:textFill>
            <w14:solidFill>
              <w14:schemeClr w14:val="tx1"/>
            </w14:solidFill>
          </w14:textFill>
        </w:rPr>
        <w:t>大力发展山水旅游和农文旅游，完善旅游基础设施建设，打造旅游产品，建设一批旅游目的地。</w:t>
      </w:r>
    </w:p>
    <w:p w14:paraId="6A68FB43">
      <w:pPr>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Times New Roman" w:hAnsi="Times New Roman" w:eastAsia="仿宋" w:cs="仿宋"/>
          <w:smallCaps w:val="0"/>
          <w:color w:val="000000" w:themeColor="text1"/>
          <w:sz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设施互联互通。</w:t>
      </w:r>
      <w:r>
        <w:rPr>
          <w:rFonts w:hint="eastAsia" w:ascii="Times New Roman" w:hAnsi="Times New Roman" w:eastAsia="仿宋" w:cs="仿宋"/>
          <w:smallCaps w:val="0"/>
          <w:color w:val="000000" w:themeColor="text1"/>
          <w:sz w:val="32"/>
          <w:highlight w:val="none"/>
          <w14:textFill>
            <w14:solidFill>
              <w14:schemeClr w14:val="tx1"/>
            </w14:solidFill>
          </w14:textFill>
        </w:rPr>
        <w:t>加密公路路网，推进长春都市圈环线高速相关路段建设，配合实施长春绕城高速改扩建、102国道跨越线等工程，打通与长春汽开区等重点区域快速通道。强化枢纽衔接，依托范家屯产业基础谋划建设区域性货运站点，衔接长春国际陆港、长春智慧物流园等枢纽，发展多式联运。优化市内公交网络，探索与长春主城区公交接驳机制。融入区域轨道体系，配合推进长春经辽源至通化铁路等项目，缩短与长春、四平、辽源等城市时空距离。</w:t>
      </w:r>
    </w:p>
    <w:p w14:paraId="0A256BF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维护粮食安全。</w:t>
      </w:r>
      <w:r>
        <w:rPr>
          <w:rFonts w:hint="eastAsia" w:ascii="Times New Roman" w:hAnsi="Times New Roman" w:cs="仿宋"/>
          <w:smallCaps w:val="0"/>
          <w:color w:val="000000" w:themeColor="text1"/>
          <w:highlight w:val="none"/>
          <w14:textFill>
            <w14:solidFill>
              <w14:schemeClr w14:val="tx1"/>
            </w14:solidFill>
          </w14:textFill>
        </w:rPr>
        <w:t>扛稳区域粮食安全责任，守牢粮食安全底线，建设都市圈现代农业产业带重要承载区。推广“梨树模式”，加强黑土地保护与高标准农田建设，稳定粮食播种面积460万亩以上。加大种业企业招商与培育力度，建设现代化玉米种业基地和国家现代种业产业园，打造种业产业集群。构建特色农高区体系，优化农业高新技术产业布局，支撑玉米产业、智能农机装备、农业科技服务转型升级。</w:t>
      </w:r>
    </w:p>
    <w:p w14:paraId="0C880C3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保护区域生态。</w:t>
      </w:r>
      <w:r>
        <w:rPr>
          <w:rFonts w:hint="eastAsia" w:ascii="Times New Roman" w:hAnsi="Times New Roman" w:cs="仿宋"/>
          <w:smallCaps w:val="0"/>
          <w:color w:val="000000" w:themeColor="text1"/>
          <w:highlight w:val="none"/>
          <w14:textFill>
            <w14:solidFill>
              <w14:schemeClr w14:val="tx1"/>
            </w14:solidFill>
          </w14:textFill>
        </w:rPr>
        <w:t>共建富美生态空间，加强生态保</w:t>
      </w:r>
      <w:r>
        <w:rPr>
          <w:rFonts w:hint="eastAsia" w:ascii="Times New Roman" w:hAnsi="Times New Roman" w:cs="仿宋"/>
          <w:smallCaps w:val="0"/>
          <w:color w:val="000000" w:themeColor="text1"/>
          <w:highlight w:val="none"/>
          <w:lang w:eastAsia="zh-CN"/>
          <w14:textFill>
            <w14:solidFill>
              <w14:schemeClr w14:val="tx1"/>
            </w14:solidFill>
          </w14:textFill>
        </w:rPr>
        <w:t>护和</w:t>
      </w:r>
      <w:r>
        <w:rPr>
          <w:rFonts w:hint="eastAsia" w:ascii="Times New Roman" w:hAnsi="Times New Roman" w:cs="仿宋"/>
          <w:smallCaps w:val="0"/>
          <w:color w:val="000000" w:themeColor="text1"/>
          <w:highlight w:val="none"/>
          <w14:textFill>
            <w14:solidFill>
              <w14:schemeClr w14:val="tx1"/>
            </w14:solidFill>
          </w14:textFill>
        </w:rPr>
        <w:t>修复，推进东辽河、新凯河流域综合治理，参与大黑山脉生态保护带、南部东辽河防护林带建设，实施中小河流治理。强化环境联防共治，融入都市圈大气污染联防联控机制，深化燃煤污染治理、扬尘精细化管理，推进秸秆禁烧与综合利用，参与流域水污染联防联控，建立跨市环境信息共享机制。推动绿色低碳发展，推广清洁能源，支持企业节能改造，参与都市圈“无废城市”共建，完善固体废物回收利用体系，推动生活垃圾分类与再生资源回收“两网融合”。</w:t>
      </w:r>
    </w:p>
    <w:p w14:paraId="6A1E44DD">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打造共同市场。</w:t>
      </w:r>
      <w:bookmarkStart w:id="76" w:name="_Toc17373"/>
      <w:bookmarkStart w:id="77" w:name="_Toc28901"/>
      <w:r>
        <w:rPr>
          <w:rFonts w:hint="eastAsia" w:ascii="Times New Roman" w:hAnsi="Times New Roman" w:cs="仿宋"/>
          <w:smallCaps w:val="0"/>
          <w:color w:val="000000" w:themeColor="text1"/>
          <w:highlight w:val="none"/>
          <w14:textFill>
            <w14:solidFill>
              <w14:schemeClr w14:val="tx1"/>
            </w14:solidFill>
          </w14:textFill>
        </w:rPr>
        <w:t>促进要素自由流动，接入都市圈人力资源与公共就业服务平台，参与联合招聘，推广“科技创新券”，加强与长春高校、科研院所合作，承接科技成果转化。统一市场准入标准，全面落实全国市场准入负面清单制度，推动食品药品检验检测结果及行业许可互认，参与跨区域执法协作，建立消费投诉协作机制。深化政务服务联通，推进“互联网+政务服务”，实现涉企便民事项“圈内通办”“跨市通办”“一网通办”，提升“吉事办”应用效能。</w:t>
      </w:r>
      <w:bookmarkStart w:id="78" w:name="_Toc26970"/>
      <w:bookmarkStart w:id="79" w:name="_Toc2055"/>
      <w:bookmarkStart w:id="80" w:name="_Toc30128"/>
    </w:p>
    <w:p w14:paraId="3C2FEF59">
      <w:pPr>
        <w:pStyle w:val="5"/>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Times New Roman" w:hAnsi="Times New Roman"/>
          <w:smallCaps w:val="0"/>
        </w:rPr>
      </w:pPr>
    </w:p>
    <w:p w14:paraId="1D7D6A6B">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smallCaps w:val="0"/>
          <w:color w:val="000000" w:themeColor="text1"/>
          <w:highlight w:val="none"/>
          <w14:textFill>
            <w14:solidFill>
              <w14:schemeClr w14:val="tx1"/>
            </w14:solidFill>
          </w14:textFill>
        </w:rPr>
      </w:pPr>
      <w:bookmarkStart w:id="81" w:name="_Toc6888"/>
      <w:r>
        <w:rPr>
          <w:rFonts w:hint="eastAsia" w:ascii="Times New Roman" w:hAnsi="Times New Roman"/>
          <w:smallCaps w:val="0"/>
          <w:color w:val="000000" w:themeColor="text1"/>
          <w:highlight w:val="none"/>
          <w14:textFill>
            <w14:solidFill>
              <w14:schemeClr w14:val="tx1"/>
            </w14:solidFill>
          </w14:textFill>
        </w:rPr>
        <w:t>第三章 突出高质量发展导向，塑造现代化产业体系</w:t>
      </w:r>
      <w:bookmarkEnd w:id="76"/>
      <w:bookmarkEnd w:id="77"/>
      <w:bookmarkEnd w:id="78"/>
      <w:bookmarkEnd w:id="79"/>
      <w:bookmarkEnd w:id="80"/>
      <w:bookmarkEnd w:id="81"/>
    </w:p>
    <w:p w14:paraId="26A543A6">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Times New Roman"/>
          <w:smallCaps w:val="0"/>
          <w:color w:val="000000" w:themeColor="text1"/>
          <w:szCs w:val="32"/>
          <w:highlight w:val="none"/>
          <w14:textFill>
            <w14:solidFill>
              <w14:schemeClr w14:val="tx1"/>
            </w14:solidFill>
          </w14:textFill>
        </w:rPr>
      </w:pPr>
    </w:p>
    <w:p w14:paraId="21109178">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聚焦筑牢实体经济根基，统筹优化提升传统产业、做大做强优势产业、培育布局新增长点，构建主业突出、优势鲜明、技术先进的现代产业体系，引领全市高质量发展进程。</w:t>
      </w:r>
    </w:p>
    <w:p w14:paraId="49353EA0">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82" w:name="_Toc10896"/>
      <w:bookmarkStart w:id="83" w:name="_Toc20073"/>
      <w:bookmarkStart w:id="84" w:name="_Toc23165"/>
      <w:bookmarkStart w:id="85" w:name="_Toc8515"/>
      <w:bookmarkStart w:id="86" w:name="_Toc31101"/>
      <w:bookmarkStart w:id="87" w:name="_Toc2554"/>
      <w:bookmarkStart w:id="88" w:name="_Toc7305"/>
      <w:r>
        <w:rPr>
          <w:rFonts w:hint="eastAsia" w:ascii="Times New Roman" w:hAnsi="Times New Roman"/>
          <w:smallCaps w:val="0"/>
          <w:color w:val="000000" w:themeColor="text1"/>
          <w:highlight w:val="none"/>
          <w14:textFill>
            <w14:solidFill>
              <w14:schemeClr w14:val="tx1"/>
            </w14:solidFill>
          </w14:textFill>
        </w:rPr>
        <w:t xml:space="preserve">第一节 </w:t>
      </w:r>
      <w:bookmarkEnd w:id="82"/>
      <w:bookmarkEnd w:id="83"/>
      <w:bookmarkEnd w:id="84"/>
      <w:r>
        <w:rPr>
          <w:rFonts w:hint="eastAsia" w:ascii="Times New Roman" w:hAnsi="Times New Roman"/>
          <w:smallCaps w:val="0"/>
          <w:color w:val="000000" w:themeColor="text1"/>
          <w:highlight w:val="none"/>
          <w14:textFill>
            <w14:solidFill>
              <w14:schemeClr w14:val="tx1"/>
            </w14:solidFill>
          </w14:textFill>
        </w:rPr>
        <w:t>优化提升汽车</w:t>
      </w:r>
      <w:r>
        <w:rPr>
          <w:rFonts w:hint="eastAsia" w:ascii="Times New Roman" w:hAnsi="Times New Roman"/>
          <w:smallCaps w:val="0"/>
          <w:color w:val="000000" w:themeColor="text1"/>
          <w:highlight w:val="none"/>
          <w:lang w:val="en-US" w:eastAsia="zh-CN"/>
          <w14:textFill>
            <w14:solidFill>
              <w14:schemeClr w14:val="tx1"/>
            </w14:solidFill>
          </w14:textFill>
        </w:rPr>
        <w:t>及</w:t>
      </w:r>
      <w:r>
        <w:rPr>
          <w:rFonts w:hint="eastAsia" w:ascii="Times New Roman" w:hAnsi="Times New Roman"/>
          <w:smallCaps w:val="0"/>
          <w:color w:val="000000" w:themeColor="text1"/>
          <w:highlight w:val="none"/>
          <w14:textFill>
            <w14:solidFill>
              <w14:schemeClr w14:val="tx1"/>
            </w14:solidFill>
          </w14:textFill>
        </w:rPr>
        <w:t>零部件产业</w:t>
      </w:r>
      <w:bookmarkEnd w:id="85"/>
      <w:bookmarkEnd w:id="86"/>
      <w:bookmarkEnd w:id="87"/>
      <w:bookmarkEnd w:id="88"/>
    </w:p>
    <w:p w14:paraId="0910F567">
      <w:pPr>
        <w:keepNext w:val="0"/>
        <w:keepLines w:val="0"/>
        <w:pageBreakBefore w:val="0"/>
        <w:widowControl w:val="0"/>
        <w:suppressLineNumbers w:val="0"/>
        <w:kinsoku/>
        <w:wordWrap/>
        <w:overflowPunct/>
        <w:topLinePunct w:val="0"/>
        <w:autoSpaceDE/>
        <w:autoSpaceDN/>
        <w:bidi w:val="0"/>
        <w:adjustRightInd/>
        <w:snapToGrid/>
        <w:spacing w:line="576" w:lineRule="exact"/>
        <w:ind w:left="0"/>
        <w:jc w:val="left"/>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围绕长春市整车产业布局，以</w:t>
      </w:r>
      <w:r>
        <w:rPr>
          <w:rFonts w:hint="eastAsia" w:ascii="Times New Roman" w:hAnsi="Times New Roman" w:cs="仿宋"/>
          <w:smallCaps w:val="0"/>
          <w:color w:val="000000" w:themeColor="text1"/>
          <w:highlight w:val="none"/>
          <w:lang w:eastAsia="zh-CN"/>
          <w14:textFill>
            <w14:solidFill>
              <w14:schemeClr w14:val="tx1"/>
            </w14:solidFill>
          </w14:textFill>
        </w:rPr>
        <w:t>公主岭</w:t>
      </w:r>
      <w:r>
        <w:rPr>
          <w:rFonts w:hint="eastAsia" w:ascii="Times New Roman" w:hAnsi="Times New Roman" w:cs="仿宋"/>
          <w:smallCaps w:val="0"/>
          <w:color w:val="000000" w:themeColor="text1"/>
          <w:highlight w:val="none"/>
          <w:lang w:val="en-US" w:eastAsia="zh-CN"/>
          <w14:textFill>
            <w14:solidFill>
              <w14:schemeClr w14:val="tx1"/>
            </w14:solidFill>
          </w14:textFill>
        </w:rPr>
        <w:t>经济开发区</w:t>
      </w:r>
      <w:r>
        <w:rPr>
          <w:rFonts w:hint="eastAsia" w:ascii="Times New Roman" w:hAnsi="Times New Roman" w:cs="仿宋"/>
          <w:smallCaps w:val="0"/>
          <w:color w:val="000000" w:themeColor="text1"/>
          <w:highlight w:val="none"/>
          <w14:textFill>
            <w14:solidFill>
              <w14:schemeClr w14:val="tx1"/>
            </w14:solidFill>
          </w14:textFill>
        </w:rPr>
        <w:t>为主体，联动</w:t>
      </w:r>
      <w:r>
        <w:rPr>
          <w:rFonts w:hint="eastAsia" w:ascii="Times New Roman" w:hAnsi="Times New Roman" w:cs="仿宋"/>
          <w:smallCaps w:val="0"/>
          <w:color w:val="000000" w:themeColor="text1"/>
          <w:highlight w:val="none"/>
          <w:lang w:val="en-US" w:eastAsia="zh-CN"/>
          <w14:textFill>
            <w14:solidFill>
              <w14:schemeClr w14:val="tx1"/>
            </w14:solidFill>
          </w14:textFill>
        </w:rPr>
        <w:t>长春大岭经济开发区</w:t>
      </w:r>
      <w:r>
        <w:rPr>
          <w:rFonts w:hint="eastAsia" w:ascii="Times New Roman" w:hAnsi="Times New Roman" w:cs="仿宋"/>
          <w:smallCaps w:val="0"/>
          <w:color w:val="000000" w:themeColor="text1"/>
          <w:highlight w:val="none"/>
          <w14:textFill>
            <w14:solidFill>
              <w14:schemeClr w14:val="tx1"/>
            </w14:solidFill>
          </w14:textFill>
        </w:rPr>
        <w:t>，推动汽车及零部件产业向高端化、智能化、绿色化转型升级，加快打造国内技术领先的汽车零部件制造基地。</w:t>
      </w:r>
      <w:r>
        <w:rPr>
          <w:rFonts w:hint="eastAsia" w:ascii="Times New Roman" w:hAnsi="Times New Roman" w:eastAsia="方正仿宋_GB2312" w:cs="方正仿宋_GB2312"/>
          <w:b w:val="0"/>
          <w:bCs/>
          <w:smallCaps w:val="0"/>
          <w:color w:val="000000"/>
          <w:kern w:val="2"/>
          <w:sz w:val="32"/>
          <w:szCs w:val="32"/>
          <w:lang w:val="en-US" w:eastAsia="zh-CN"/>
        </w:rPr>
        <w:t>力争到2030年形成190亿级产业集群。</w:t>
      </w:r>
    </w:p>
    <w:p w14:paraId="6C7BB868">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eastAsia="仿宋" w:cs="仿宋"/>
          <w:smallCaps w:val="0"/>
          <w:color w:val="000000" w:themeColor="text1"/>
          <w:sz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传统汽车及零部件产业。</w:t>
      </w:r>
      <w:r>
        <w:rPr>
          <w:rFonts w:hint="eastAsia" w:ascii="Times New Roman" w:hAnsi="Times New Roman" w:eastAsia="仿宋" w:cs="仿宋"/>
          <w:smallCaps w:val="0"/>
          <w:color w:val="000000" w:themeColor="text1"/>
          <w:sz w:val="32"/>
          <w:highlight w:val="none"/>
          <w14:textFill>
            <w14:solidFill>
              <w14:schemeClr w14:val="tx1"/>
            </w14:solidFill>
          </w14:textFill>
        </w:rPr>
        <w:t>支持企业强化品牌建设，重点发展中高端合资品牌轿车、SUV、MPV等主力车型核心零部件。加快推进重卡、轿车零部件产能提升，重点实施卡车后桥外壳总成智能制造线、汽车冲压件及焊接总成等项目，拓展省内外卡车配套市场。发挥中国汽车零部件生产基地品牌效应和产业集群优势，强化产业集团带动作用，以20家一级</w:t>
      </w:r>
      <w:r>
        <w:rPr>
          <w:rFonts w:hint="eastAsia" w:ascii="Times New Roman" w:hAnsi="Times New Roman" w:cs="仿宋"/>
          <w:smallCaps w:val="0"/>
          <w:color w:val="000000" w:themeColor="text1"/>
          <w:sz w:val="32"/>
          <w:highlight w:val="none"/>
          <w:lang w:val="en-US" w:eastAsia="zh-CN"/>
          <w14:textFill>
            <w14:solidFill>
              <w14:schemeClr w14:val="tx1"/>
            </w14:solidFill>
          </w14:textFill>
        </w:rPr>
        <w:t>供应商与</w:t>
      </w:r>
      <w:r>
        <w:rPr>
          <w:rFonts w:hint="eastAsia" w:ascii="Times New Roman" w:hAnsi="Times New Roman" w:eastAsia="仿宋" w:cs="仿宋"/>
          <w:smallCaps w:val="0"/>
          <w:color w:val="000000" w:themeColor="text1"/>
          <w:sz w:val="32"/>
          <w:highlight w:val="none"/>
          <w14:textFill>
            <w14:solidFill>
              <w14:schemeClr w14:val="tx1"/>
            </w14:solidFill>
          </w14:textFill>
        </w:rPr>
        <w:t>核心供应商为引领，带动二三级供应商全面配套，吸引重大零部件项目落地，培育产业新增长点。推动零部件企业向智能农机等相关领域延伸，依托现有重点企业，围绕适合东北地区玉米标准化生产的智能农机装备，构建高端智能农业装备研发、制造、展示、交易服务体系，打造智能农机装备制造基地。深化与国内知名农机、轨道客车装备企业合作，加快壮大装备制造产业规模。</w:t>
      </w:r>
    </w:p>
    <w:p w14:paraId="487D9E1A">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新能源汽车及零部件产业。</w:t>
      </w:r>
      <w:r>
        <w:rPr>
          <w:rFonts w:hint="eastAsia" w:ascii="Times New Roman" w:hAnsi="Times New Roman" w:cs="仿宋"/>
          <w:smallCaps w:val="0"/>
          <w:color w:val="000000" w:themeColor="text1"/>
          <w:highlight w:val="none"/>
          <w14:textFill>
            <w14:solidFill>
              <w14:schemeClr w14:val="tx1"/>
            </w14:solidFill>
          </w14:textFill>
        </w:rPr>
        <w:t>推动汽车配套产业向特色化、电动化、智能化转型，重点发展新能源配套体系。加快发展纯电动及燃料电池客车配套，拓展纯电卡车、物流车、环卫车等特种车辆配套。加快推动动力电池产业化，积极引进国内外知名动力电池企业落户。支持有关企业开拓新能源汽车领域新赛道，向新能源汽车“三电”系统、废旧电池回收利用等新方向发展</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推动现有汽车零部件企业向新能源方向转型升级</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进一步补强产业链断点，围绕新能源车辆“三电”系统</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智能网联零部件方向开展招商工作，吸引新能源配套零部件企业落地。</w:t>
      </w:r>
    </w:p>
    <w:p w14:paraId="56C1468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汽车后市场服务业。</w:t>
      </w:r>
      <w:r>
        <w:rPr>
          <w:rFonts w:hint="eastAsia" w:ascii="Times New Roman" w:hAnsi="Times New Roman" w:cs="仿宋"/>
          <w:smallCaps w:val="0"/>
          <w:color w:val="000000" w:themeColor="text1"/>
          <w:highlight w:val="none"/>
          <w14:textFill>
            <w14:solidFill>
              <w14:schemeClr w14:val="tx1"/>
            </w14:solidFill>
          </w14:textFill>
        </w:rPr>
        <w:t>积极引进汽车维修互联网平台企业，推动产业向汽车后市场延伸，聚焦汽车养护、维修等领域，打造集生产、物流、销售、服务于一体的综合性载体。以汽车租赁、美容、装饰、轮胎服务、检测认证为重点，发展连锁租赁、以租代购等新业态。培育壮大汽车销售和零部件用品企业，加强检测认证能力建设，构建覆盖全链条的服务体系。积极发展汽车运动赛事、改装服务、青少年汽车文化教育、品牌展示、专业会展、自驾营地等新业态，拓展汽车后市场发展空间。</w:t>
      </w:r>
    </w:p>
    <w:p w14:paraId="64C31808">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89" w:name="_Toc25753"/>
      <w:bookmarkStart w:id="90" w:name="_Toc25454"/>
      <w:bookmarkStart w:id="91" w:name="_Toc31703"/>
      <w:bookmarkStart w:id="92" w:name="_Toc15835"/>
      <w:r>
        <w:rPr>
          <w:rFonts w:hint="eastAsia" w:ascii="Times New Roman" w:hAnsi="Times New Roman"/>
          <w:smallCaps w:val="0"/>
          <w:color w:val="000000" w:themeColor="text1"/>
          <w:highlight w:val="none"/>
          <w14:textFill>
            <w14:solidFill>
              <w14:schemeClr w14:val="tx1"/>
            </w14:solidFill>
          </w14:textFill>
        </w:rPr>
        <w:t>第二节 做精做深农产品</w:t>
      </w:r>
      <w:r>
        <w:rPr>
          <w:rFonts w:hint="eastAsia" w:ascii="Times New Roman" w:hAnsi="Times New Roman"/>
          <w:smallCaps w:val="0"/>
          <w:color w:val="000000" w:themeColor="text1"/>
          <w:highlight w:val="none"/>
          <w:lang w:val="en-US" w:eastAsia="zh-CN"/>
          <w14:textFill>
            <w14:solidFill>
              <w14:schemeClr w14:val="tx1"/>
            </w14:solidFill>
          </w14:textFill>
        </w:rPr>
        <w:t>精深</w:t>
      </w:r>
      <w:r>
        <w:rPr>
          <w:rFonts w:hint="eastAsia" w:ascii="Times New Roman" w:hAnsi="Times New Roman"/>
          <w:smallCaps w:val="0"/>
          <w:color w:val="000000" w:themeColor="text1"/>
          <w:highlight w:val="none"/>
          <w14:textFill>
            <w14:solidFill>
              <w14:schemeClr w14:val="tx1"/>
            </w14:solidFill>
          </w14:textFill>
        </w:rPr>
        <w:t>加工产业</w:t>
      </w:r>
      <w:bookmarkEnd w:id="89"/>
      <w:bookmarkEnd w:id="90"/>
      <w:bookmarkEnd w:id="91"/>
      <w:bookmarkEnd w:id="92"/>
    </w:p>
    <w:p w14:paraId="39929C2C">
      <w:pPr>
        <w:keepNext w:val="0"/>
        <w:keepLines w:val="0"/>
        <w:pageBreakBefore w:val="0"/>
        <w:widowControl w:val="0"/>
        <w:suppressLineNumbers w:val="0"/>
        <w:kinsoku/>
        <w:wordWrap/>
        <w:overflowPunct/>
        <w:topLinePunct w:val="0"/>
        <w:autoSpaceDE/>
        <w:autoSpaceDN/>
        <w:bidi w:val="0"/>
        <w:adjustRightInd/>
        <w:snapToGrid/>
        <w:spacing w:line="576" w:lineRule="exact"/>
        <w:ind w:left="0"/>
        <w:jc w:val="left"/>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以</w:t>
      </w:r>
      <w:r>
        <w:rPr>
          <w:rFonts w:hint="eastAsia" w:ascii="Times New Roman" w:hAnsi="Times New Roman" w:cs="仿宋"/>
          <w:smallCaps w:val="0"/>
          <w:color w:val="000000" w:themeColor="text1"/>
          <w:highlight w:val="none"/>
          <w:lang w:val="en-US" w:eastAsia="zh-CN"/>
          <w14:textFill>
            <w14:solidFill>
              <w14:schemeClr w14:val="tx1"/>
            </w14:solidFill>
          </w14:textFill>
        </w:rPr>
        <w:t>长春国家</w:t>
      </w:r>
      <w:r>
        <w:rPr>
          <w:rFonts w:hint="eastAsia" w:ascii="Times New Roman" w:hAnsi="Times New Roman" w:cs="仿宋"/>
          <w:smallCaps w:val="0"/>
          <w:color w:val="000000" w:themeColor="text1"/>
          <w:highlight w:val="none"/>
          <w14:textFill>
            <w14:solidFill>
              <w14:schemeClr w14:val="tx1"/>
            </w14:solidFill>
          </w14:textFill>
        </w:rPr>
        <w:t>农高区为主体，联动怀德镇、黑林子镇、永发乡等乡镇，突出玉米全产业链特色，做长畜禽食品链条。</w:t>
      </w:r>
      <w:r>
        <w:rPr>
          <w:rFonts w:hint="eastAsia" w:ascii="Times New Roman" w:hAnsi="Times New Roman" w:eastAsia="方正仿宋_GB2312" w:cs="方正仿宋_GB2312"/>
          <w:b w:val="0"/>
          <w:bCs/>
          <w:smallCaps w:val="0"/>
          <w:color w:val="000000"/>
          <w:kern w:val="2"/>
          <w:sz w:val="32"/>
          <w:szCs w:val="32"/>
          <w:lang w:val="en-US" w:eastAsia="zh-CN"/>
        </w:rPr>
        <w:t>力争到2030年形成150亿级产业集群。</w:t>
      </w:r>
    </w:p>
    <w:p w14:paraId="2E66B973">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玉米加工产业。</w:t>
      </w:r>
      <w:r>
        <w:rPr>
          <w:rFonts w:hint="eastAsia" w:ascii="Times New Roman" w:hAnsi="Times New Roman" w:cs="仿宋"/>
          <w:smallCaps w:val="0"/>
          <w:color w:val="000000" w:themeColor="text1"/>
          <w:highlight w:val="none"/>
          <w:lang w:eastAsia="zh-CN"/>
          <w14:textFill>
            <w14:solidFill>
              <w14:schemeClr w14:val="tx1"/>
            </w14:solidFill>
          </w14:textFill>
        </w:rPr>
        <w:t>支持域内企业加快数字化、自动化改造，提升玉米精深加工水平，扩大麦芽糊精、玉米变性淀粉、结晶糖等产品产能。加强副产物综合利用，推动玉米胚芽油、玉米蛋白等向精深加工延伸，开发脂肪酸、玉米蛋白肽、醇类等高附加值产品。打造鲜食玉米全产业链，发挥龙头企业示范带动作用，完善种植、生产、加工、销售一体化体系，培育一批农产品加工重点企业，力争年加工鲜食玉米穗、粒、段6亿穗以上。</w:t>
      </w:r>
    </w:p>
    <w:p w14:paraId="62865B2F">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健康食品产业。</w:t>
      </w:r>
      <w:r>
        <w:rPr>
          <w:rFonts w:hint="eastAsia" w:ascii="Times New Roman" w:hAnsi="Times New Roman" w:cs="仿宋"/>
          <w:smallCaps w:val="0"/>
          <w:color w:val="000000" w:themeColor="text1"/>
          <w:highlight w:val="none"/>
          <w14:textFill>
            <w14:solidFill>
              <w14:schemeClr w14:val="tx1"/>
            </w14:solidFill>
          </w14:textFill>
        </w:rPr>
        <w:t>布局“大健康”产业新赛道，推动主食功能化、鲜食精品化、特医产业化。加快功能性主食系列产品研发与生产，支持企业开发粗粮精作、保健食疗新产品。积极研发特殊医学用途配方食品，鼓励食品加工企业延伸产业链、提升附加值，发展面向特定人群的功能性膳食产品。稳步发展畜禽乳蛋食品加工，推动肉类产品向调理食品、预制菜肴方向转型，加快发展方便、速冻、休闲类食品。</w:t>
      </w:r>
    </w:p>
    <w:p w14:paraId="718D0EED">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畜禽加工产业。</w:t>
      </w:r>
      <w:r>
        <w:rPr>
          <w:rFonts w:hint="eastAsia" w:ascii="Times New Roman" w:hAnsi="Times New Roman" w:cs="仿宋"/>
          <w:smallCaps w:val="0"/>
          <w:color w:val="000000" w:themeColor="text1"/>
          <w:highlight w:val="none"/>
          <w14:textFill>
            <w14:solidFill>
              <w14:schemeClr w14:val="tx1"/>
            </w14:solidFill>
          </w14:textFill>
        </w:rPr>
        <w:t>做大做强畜禽食品加工，推动产业从“屠宰加工”向“精深制造+预制美味”升级。依托农高区肉牛屠宰加工基地，加大招商引资力度，培育引进一批牛肉精深加工企业，提升“岭城牛肉”品牌影响力。推进屠宰产能布局优化，在桑树台、秦家屯、八屋、双城堡、杨大城子等中心乡镇规划建设小型标准化屠宰场，提升本地化屠宰加工能力。鼓励应用信息化、智能化、成套化精深加工装备，建设数字化车间、智能工厂，配套完善冷链物流体系，实现生鲜畜产品产加销高效衔接。</w:t>
      </w:r>
    </w:p>
    <w:p w14:paraId="43AAF13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 w:val="30"/>
          <w:szCs w:val="30"/>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饲料加工产业。</w:t>
      </w:r>
      <w:r>
        <w:rPr>
          <w:rFonts w:hint="eastAsia" w:ascii="Times New Roman" w:hAnsi="Times New Roman" w:cs="仿宋"/>
          <w:smallCaps w:val="0"/>
          <w:color w:val="000000" w:themeColor="text1"/>
          <w:highlight w:val="none"/>
          <w14:textFill>
            <w14:solidFill>
              <w14:schemeClr w14:val="tx1"/>
            </w14:solidFill>
          </w14:textFill>
        </w:rPr>
        <w:t>引导过剩初加工产能化解转移和短缺精深加工产能加快建设，</w:t>
      </w:r>
      <w:r>
        <w:rPr>
          <w:rFonts w:hint="eastAsia" w:ascii="Times New Roman" w:hAnsi="Times New Roman" w:cs="仿宋"/>
          <w:smallCaps w:val="0"/>
          <w:color w:val="000000" w:themeColor="text1"/>
          <w:highlight w:val="none"/>
          <w:lang w:val="en-US" w:eastAsia="zh-CN"/>
          <w14:textFill>
            <w14:solidFill>
              <w14:schemeClr w14:val="tx1"/>
            </w14:solidFill>
          </w14:textFill>
        </w:rPr>
        <w:t>鼓励</w:t>
      </w:r>
      <w:r>
        <w:rPr>
          <w:rFonts w:hint="eastAsia" w:ascii="Times New Roman" w:hAnsi="Times New Roman" w:cs="仿宋"/>
          <w:smallCaps w:val="0"/>
          <w:color w:val="000000" w:themeColor="text1"/>
          <w:highlight w:val="none"/>
          <w14:textFill>
            <w14:solidFill>
              <w14:schemeClr w14:val="tx1"/>
            </w14:solidFill>
          </w14:textFill>
        </w:rPr>
        <w:t>企业积极采用先进的饲料加工工艺技术、微生物发酵技术，提高产品科技含量，由低端向高端产品转型</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推动饲料品种系列化、结构多样化，重点发展安全、高效、无污染的优质环保型饲料、专用饲料。</w:t>
      </w:r>
    </w:p>
    <w:p w14:paraId="29DC30BD">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93" w:name="_Toc17073"/>
      <w:bookmarkStart w:id="94" w:name="_Toc17403"/>
      <w:bookmarkStart w:id="95" w:name="_Toc31417"/>
      <w:bookmarkStart w:id="96" w:name="_Toc12526"/>
      <w:r>
        <w:rPr>
          <w:rFonts w:hint="eastAsia" w:ascii="Times New Roman" w:hAnsi="Times New Roman"/>
          <w:smallCaps w:val="0"/>
          <w:color w:val="000000" w:themeColor="text1"/>
          <w:highlight w:val="none"/>
          <w14:textFill>
            <w14:solidFill>
              <w14:schemeClr w14:val="tx1"/>
            </w14:solidFill>
          </w14:textFill>
        </w:rPr>
        <w:t xml:space="preserve">第三节 </w:t>
      </w:r>
      <w:r>
        <w:rPr>
          <w:rFonts w:hint="eastAsia" w:ascii="Times New Roman" w:hAnsi="Times New Roman"/>
          <w:smallCaps w:val="0"/>
          <w:color w:val="000000" w:themeColor="text1"/>
          <w:highlight w:val="none"/>
          <w:lang w:val="en-US" w:eastAsia="zh-CN"/>
          <w14:textFill>
            <w14:solidFill>
              <w14:schemeClr w14:val="tx1"/>
            </w14:solidFill>
          </w14:textFill>
        </w:rPr>
        <w:t>壮大现代</w:t>
      </w:r>
      <w:r>
        <w:rPr>
          <w:rFonts w:hint="eastAsia" w:ascii="Times New Roman" w:hAnsi="Times New Roman"/>
          <w:smallCaps w:val="0"/>
          <w:color w:val="000000" w:themeColor="text1"/>
          <w:highlight w:val="none"/>
          <w14:textFill>
            <w14:solidFill>
              <w14:schemeClr w14:val="tx1"/>
            </w14:solidFill>
          </w14:textFill>
        </w:rPr>
        <w:t>物流产业</w:t>
      </w:r>
      <w:bookmarkEnd w:id="93"/>
      <w:bookmarkEnd w:id="94"/>
      <w:bookmarkEnd w:id="95"/>
      <w:bookmarkEnd w:id="96"/>
    </w:p>
    <w:p w14:paraId="577A97B3">
      <w:pPr>
        <w:keepNext w:val="0"/>
        <w:keepLines w:val="0"/>
        <w:pageBreakBefore w:val="0"/>
        <w:widowControl w:val="0"/>
        <w:suppressLineNumbers w:val="0"/>
        <w:kinsoku/>
        <w:wordWrap/>
        <w:overflowPunct/>
        <w:topLinePunct w:val="0"/>
        <w:autoSpaceDE/>
        <w:autoSpaceDN/>
        <w:bidi w:val="0"/>
        <w:adjustRightInd/>
        <w:snapToGrid/>
        <w:spacing w:line="576" w:lineRule="exact"/>
        <w:ind w:left="0"/>
        <w:jc w:val="left"/>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依托</w:t>
      </w:r>
      <w:r>
        <w:rPr>
          <w:rFonts w:hint="eastAsia" w:ascii="Times New Roman" w:hAnsi="Times New Roman" w:cs="仿宋"/>
          <w:smallCaps w:val="0"/>
          <w:color w:val="000000" w:themeColor="text1"/>
          <w:highlight w:val="none"/>
          <w:lang w:eastAsia="zh-CN"/>
          <w14:textFill>
            <w14:solidFill>
              <w14:schemeClr w14:val="tx1"/>
            </w14:solidFill>
          </w14:textFill>
        </w:rPr>
        <w:t>长春大岭经济开发区</w:t>
      </w:r>
      <w:r>
        <w:rPr>
          <w:rFonts w:hint="eastAsia" w:ascii="Times New Roman" w:hAnsi="Times New Roman" w:cs="仿宋"/>
          <w:smallCaps w:val="0"/>
          <w:color w:val="000000" w:themeColor="text1"/>
          <w:highlight w:val="none"/>
          <w14:textFill>
            <w14:solidFill>
              <w14:schemeClr w14:val="tx1"/>
            </w14:solidFill>
          </w14:textFill>
        </w:rPr>
        <w:t>、范家屯镇等区域，提升汽车、农产品等产业物流服务配套能力，</w:t>
      </w:r>
      <w:r>
        <w:rPr>
          <w:rFonts w:hint="eastAsia" w:ascii="Times New Roman" w:hAnsi="Times New Roman" w:cs="仿宋"/>
          <w:smallCaps w:val="0"/>
          <w:color w:val="000000" w:themeColor="text1"/>
          <w:highlight w:val="none"/>
          <w:lang w:val="en-US" w:eastAsia="zh-CN"/>
          <w14:textFill>
            <w14:solidFill>
              <w14:schemeClr w14:val="tx1"/>
            </w14:solidFill>
          </w14:textFill>
        </w:rPr>
        <w:t>加快打造具有区域辐射力的现代物流产业集群。</w:t>
      </w:r>
      <w:r>
        <w:rPr>
          <w:rFonts w:hint="eastAsia" w:ascii="Times New Roman" w:hAnsi="Times New Roman" w:eastAsia="方正仿宋_GB2312" w:cs="方正仿宋_GB2312"/>
          <w:b w:val="0"/>
          <w:bCs/>
          <w:smallCaps w:val="0"/>
          <w:color w:val="000000"/>
          <w:kern w:val="2"/>
          <w:sz w:val="32"/>
          <w:szCs w:val="32"/>
          <w:lang w:val="en-US" w:eastAsia="zh-CN"/>
        </w:rPr>
        <w:t>力争到2030年形成260亿级产业集群。</w:t>
      </w:r>
    </w:p>
    <w:p w14:paraId="2837344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汽车物流产业。</w:t>
      </w:r>
      <w:r>
        <w:rPr>
          <w:rFonts w:hint="eastAsia" w:ascii="Times New Roman" w:hAnsi="Times New Roman" w:cs="仿宋"/>
          <w:smallCaps w:val="0"/>
          <w:color w:val="000000" w:themeColor="text1"/>
          <w:highlight w:val="none"/>
          <w14:textFill>
            <w14:solidFill>
              <w14:schemeClr w14:val="tx1"/>
            </w14:solidFill>
          </w14:textFill>
        </w:rPr>
        <w:t>打造现代化汽车物流基地，推进整车物流、零部件物流、多式联运等业务集成发展。推动组建由汽车零部件生产商、供应链上下游企业和物流企业共同参与的产业战略联盟，加快构建高效协同的汽车零部件分拨配送网络。支持</w:t>
      </w:r>
      <w:r>
        <w:rPr>
          <w:rFonts w:hint="eastAsia" w:ascii="Times New Roman" w:hAnsi="Times New Roman" w:cs="仿宋"/>
          <w:smallCaps w:val="0"/>
          <w:color w:val="000000" w:themeColor="text1"/>
          <w:highlight w:val="none"/>
          <w:lang w:eastAsia="zh-CN"/>
          <w14:textFill>
            <w14:solidFill>
              <w14:schemeClr w14:val="tx1"/>
            </w14:solidFill>
          </w14:textFill>
        </w:rPr>
        <w:t>公主岭经济开发区</w:t>
      </w:r>
      <w:r>
        <w:rPr>
          <w:rFonts w:hint="eastAsia" w:ascii="Times New Roman" w:hAnsi="Times New Roman" w:cs="仿宋"/>
          <w:smallCaps w:val="0"/>
          <w:color w:val="000000" w:themeColor="text1"/>
          <w:highlight w:val="none"/>
          <w14:textFill>
            <w14:solidFill>
              <w14:schemeClr w14:val="tx1"/>
            </w14:solidFill>
          </w14:textFill>
        </w:rPr>
        <w:t>建设智慧仓储配送体系，做强汽车零部件专业物流；推动大岭物流园区由单一物流功能向综合物流转型、由平台服务向产业服务升级。加强汽车物流公共平台建设，实现区域汽车物流网络整体提升。</w:t>
      </w:r>
    </w:p>
    <w:p w14:paraId="6E1A6036">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农业物流产业。</w:t>
      </w:r>
      <w:r>
        <w:rPr>
          <w:rFonts w:hint="eastAsia" w:ascii="Times New Roman" w:hAnsi="Times New Roman" w:cs="仿宋"/>
          <w:smallCaps w:val="0"/>
          <w:color w:val="000000" w:themeColor="text1"/>
          <w:highlight w:val="none"/>
          <w14:textFill>
            <w14:solidFill>
              <w14:schemeClr w14:val="tx1"/>
            </w14:solidFill>
          </w14:textFill>
        </w:rPr>
        <w:t>建设现代化绿色食品物流基地，提前布局粮食物流、农畜产品物流、农资物流、区域特色食品物流、方便食品物流、农机零部件物流等重点领域。提升农产品物流运营效率，降低综合物流成本，完善信息服务、仓储冷链、综合转运、保税服务等功能，</w:t>
      </w:r>
      <w:r>
        <w:rPr>
          <w:rFonts w:hint="eastAsia" w:ascii="Times New Roman" w:hAnsi="Times New Roman" w:cs="仿宋"/>
          <w:smallCaps w:val="0"/>
          <w:color w:val="000000" w:themeColor="text1"/>
          <w:sz w:val="32"/>
          <w:szCs w:val="32"/>
          <w:highlight w:val="none"/>
          <w14:textFill>
            <w14:solidFill>
              <w14:schemeClr w14:val="tx1"/>
            </w14:solidFill>
          </w14:textFill>
        </w:rPr>
        <w:t>发展农产品集散贸易，打造服务长春现代化都市圈的农业物流产业基地。</w:t>
      </w:r>
    </w:p>
    <w:p w14:paraId="650CE083">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商贸物流产业。</w:t>
      </w:r>
      <w:r>
        <w:rPr>
          <w:rFonts w:hint="eastAsia" w:ascii="Times New Roman" w:hAnsi="Times New Roman" w:cs="仿宋"/>
          <w:smallCaps w:val="0"/>
          <w:color w:val="000000" w:themeColor="text1"/>
          <w:sz w:val="32"/>
          <w:szCs w:val="32"/>
          <w:highlight w:val="none"/>
          <w14:textFill>
            <w14:solidFill>
              <w14:schemeClr w14:val="tx1"/>
            </w14:solidFill>
          </w14:textFill>
        </w:rPr>
        <w:t>积极建设商贸型国家物流枢纽，支持骨干商贸流通企业打造供应链组织中心，加快推进韵达、中通、申通电商产业园和区域总部基地建设，推动范家屯智慧物流园区功能升级。推进物流设施信息化、智能化改造，鼓励物流园区、仓储基地自建或接入公共信息平台，打造高效便捷的生活服务型商贸物流基地。</w:t>
      </w:r>
    </w:p>
    <w:p w14:paraId="45872545">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cs="楷体"/>
          <w:smallCaps w:val="0"/>
          <w:color w:val="000000" w:themeColor="text1"/>
          <w:sz w:val="32"/>
          <w:szCs w:val="32"/>
          <w:highlight w:val="none"/>
          <w14:textFill>
            <w14:solidFill>
              <w14:schemeClr w14:val="tx1"/>
            </w14:solidFill>
          </w14:textFill>
        </w:rPr>
      </w:pPr>
      <w:bookmarkStart w:id="97" w:name="_Toc22954"/>
      <w:bookmarkStart w:id="98" w:name="_Toc15026"/>
      <w:bookmarkStart w:id="99" w:name="_Toc25554"/>
      <w:bookmarkStart w:id="100" w:name="_Toc23590"/>
      <w:bookmarkStart w:id="101" w:name="_Toc2286"/>
      <w:r>
        <w:rPr>
          <w:rFonts w:hint="eastAsia" w:ascii="Times New Roman" w:hAnsi="Times New Roman" w:cs="楷体"/>
          <w:smallCaps w:val="0"/>
          <w:color w:val="000000" w:themeColor="text1"/>
          <w:sz w:val="32"/>
          <w:szCs w:val="32"/>
          <w:highlight w:val="none"/>
          <w14:textFill>
            <w14:solidFill>
              <w14:schemeClr w14:val="tx1"/>
            </w14:solidFill>
          </w14:textFill>
        </w:rPr>
        <w:t xml:space="preserve">第四节 </w:t>
      </w:r>
      <w:bookmarkEnd w:id="97"/>
      <w:r>
        <w:rPr>
          <w:rFonts w:hint="eastAsia" w:ascii="Times New Roman" w:hAnsi="Times New Roman" w:cs="楷体"/>
          <w:smallCaps w:val="0"/>
          <w:color w:val="000000" w:themeColor="text1"/>
          <w:sz w:val="32"/>
          <w:szCs w:val="32"/>
          <w:highlight w:val="none"/>
          <w:lang w:val="en-US" w:eastAsia="zh-CN"/>
          <w14:textFill>
            <w14:solidFill>
              <w14:schemeClr w14:val="tx1"/>
            </w14:solidFill>
          </w14:textFill>
        </w:rPr>
        <w:t>做强</w:t>
      </w:r>
      <w:r>
        <w:rPr>
          <w:rFonts w:hint="eastAsia" w:ascii="Times New Roman" w:hAnsi="Times New Roman" w:cs="楷体"/>
          <w:smallCaps w:val="0"/>
          <w:color w:val="000000" w:themeColor="text1"/>
          <w:sz w:val="32"/>
          <w:szCs w:val="32"/>
          <w:highlight w:val="none"/>
          <w14:textFill>
            <w14:solidFill>
              <w14:schemeClr w14:val="tx1"/>
            </w14:solidFill>
          </w14:textFill>
        </w:rPr>
        <w:t>现代种业产业</w:t>
      </w:r>
      <w:bookmarkEnd w:id="98"/>
      <w:bookmarkEnd w:id="99"/>
      <w:bookmarkEnd w:id="100"/>
      <w:bookmarkEnd w:id="101"/>
    </w:p>
    <w:p w14:paraId="4186456C">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smallCaps w:val="0"/>
        </w:rPr>
      </w:pPr>
      <w:r>
        <w:rPr>
          <w:rFonts w:hint="eastAsia" w:ascii="Times New Roman" w:hAnsi="Times New Roman" w:cs="仿宋"/>
          <w:smallCaps w:val="0"/>
          <w:color w:val="000000" w:themeColor="text1"/>
          <w:sz w:val="32"/>
          <w:szCs w:val="32"/>
          <w:highlight w:val="none"/>
          <w14:textFill>
            <w14:solidFill>
              <w14:schemeClr w14:val="tx1"/>
            </w14:solidFill>
          </w14:textFill>
        </w:rPr>
        <w:t>实施“种业振兴”行动，以农高区为平台，以公主岭市国家现代种业园为载体，打造以玉米种业为核心、以水稻大豆种业为两翼的特色种业产业链。</w:t>
      </w:r>
      <w:r>
        <w:rPr>
          <w:rFonts w:hint="eastAsia" w:ascii="Times New Roman" w:hAnsi="Times New Roman" w:eastAsia="方正仿宋_GB2312" w:cs="方正仿宋_GB2312"/>
          <w:b w:val="0"/>
          <w:bCs/>
          <w:smallCaps w:val="0"/>
          <w:color w:val="000000"/>
          <w:kern w:val="2"/>
          <w:sz w:val="32"/>
          <w:szCs w:val="32"/>
          <w:lang w:val="en-US" w:eastAsia="zh-CN"/>
        </w:rPr>
        <w:t>力争到2030年形成25亿级产业集群。</w:t>
      </w:r>
    </w:p>
    <w:p w14:paraId="72188D8D">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玉米种业产业。</w:t>
      </w:r>
      <w:r>
        <w:rPr>
          <w:rFonts w:hint="eastAsia" w:ascii="Times New Roman" w:hAnsi="Times New Roman" w:cs="仿宋"/>
          <w:smallCaps w:val="0"/>
          <w:color w:val="000000" w:themeColor="text1"/>
          <w:sz w:val="32"/>
          <w:szCs w:val="32"/>
          <w:highlight w:val="none"/>
          <w14:textFill>
            <w14:solidFill>
              <w14:schemeClr w14:val="tx1"/>
            </w14:solidFill>
          </w14:textFill>
        </w:rPr>
        <w:t>重点集聚省内大型种业企业和优质制种基地，提升制种生产加工水平与供种保障能力，全面推进规模化、标准化、机械化制种。完善国家级玉米品种展示平台，与省农科院合作共建“国家玉米产业体系一县一业”展示示范基地，立足东北春玉米主产区</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核心区域</w:t>
      </w:r>
      <w:r>
        <w:rPr>
          <w:rFonts w:hint="eastAsia" w:ascii="Times New Roman" w:hAnsi="Times New Roman" w:cs="仿宋"/>
          <w:smallCaps w:val="0"/>
          <w:color w:val="000000" w:themeColor="text1"/>
          <w:sz w:val="32"/>
          <w:szCs w:val="32"/>
          <w:highlight w:val="none"/>
          <w14:textFill>
            <w14:solidFill>
              <w14:schemeClr w14:val="tx1"/>
            </w14:solidFill>
          </w14:textFill>
        </w:rPr>
        <w:t>，协同开展技术研发与成果转化。联合全国农技中心、吉林省种子管理总站共建国家级玉米品种展示评价基地，打造辐射东北春玉米区的品种展示评价平台。推动种子繁育加工基地等重点项目加快建设，支持种业企业扩大“育繁推”一体化规模，建设区域性种子繁育、生产、销售中心。</w:t>
      </w:r>
    </w:p>
    <w:p w14:paraId="70B19F4B">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稻豆种业产业。</w:t>
      </w:r>
      <w:r>
        <w:rPr>
          <w:rFonts w:hint="eastAsia" w:ascii="Times New Roman" w:hAnsi="Times New Roman" w:cs="仿宋"/>
          <w:smallCaps w:val="0"/>
          <w:color w:val="000000" w:themeColor="text1"/>
          <w:sz w:val="32"/>
          <w:szCs w:val="32"/>
          <w:highlight w:val="none"/>
          <w14:textFill>
            <w14:solidFill>
              <w14:schemeClr w14:val="tx1"/>
            </w14:solidFill>
          </w14:textFill>
        </w:rPr>
        <w:t>支持本地水稻种业企业与省内外科研机构深化合作，推动基地建设标准化、制种</w:t>
      </w:r>
      <w:r>
        <w:rPr>
          <w:rFonts w:hint="eastAsia" w:ascii="Times New Roman" w:hAnsi="Times New Roman" w:cs="仿宋"/>
          <w:smallCaps w:val="0"/>
          <w:color w:val="000000" w:themeColor="text1"/>
          <w:highlight w:val="none"/>
          <w14:textFill>
            <w14:solidFill>
              <w14:schemeClr w14:val="tx1"/>
            </w14:solidFill>
          </w14:textFill>
        </w:rPr>
        <w:t>全程机械化、种子加工自动化、流程控制智能化</w:t>
      </w:r>
      <w:r>
        <w:rPr>
          <w:rFonts w:hint="eastAsia" w:ascii="Times New Roman" w:hAnsi="Times New Roman" w:cs="仿宋"/>
          <w:smallCaps w:val="0"/>
          <w:color w:val="000000" w:themeColor="text1"/>
          <w:sz w:val="32"/>
          <w:szCs w:val="32"/>
          <w:highlight w:val="none"/>
          <w14:textFill>
            <w14:solidFill>
              <w14:schemeClr w14:val="tx1"/>
            </w14:solidFill>
          </w14:textFill>
        </w:rPr>
        <w:t>，实现水稻种业高水平、高效益、强实力发展。提升陶家屯镇大豆制种基地能级，加快建设品种展示示范基地、大豆品种孵化中心等平台，促进大豆种业提质增效。</w:t>
      </w:r>
    </w:p>
    <w:p w14:paraId="74916338">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壮大种业主体。</w:t>
      </w:r>
      <w:bookmarkStart w:id="102" w:name="_Toc18258"/>
      <w:bookmarkStart w:id="103" w:name="_Toc28730"/>
      <w:r>
        <w:rPr>
          <w:rFonts w:hint="eastAsia" w:ascii="Times New Roman" w:hAnsi="Times New Roman" w:cs="仿宋"/>
          <w:smallCaps w:val="0"/>
          <w:color w:val="000000" w:themeColor="text1"/>
          <w:highlight w:val="none"/>
          <w14:textFill>
            <w14:solidFill>
              <w14:schemeClr w14:val="tx1"/>
            </w14:solidFill>
          </w14:textFill>
        </w:rPr>
        <w:t>促进技术、人才、资金等创新要素向种业企业集聚，支持优势企业以并购重组、整合资源、上市融资等方式做大企业规模。鼓励优势种业企业承担国家和省级重大项目，提高生产加工水平，培育“领头羊”型种业企业。</w:t>
      </w:r>
    </w:p>
    <w:p w14:paraId="7510D677">
      <w:pPr>
        <w:pStyle w:val="3"/>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outlineLvl w:val="0"/>
        <w:rPr>
          <w:rFonts w:hint="eastAsia" w:ascii="Times New Roman" w:hAnsi="Times New Roman" w:cs="楷体"/>
          <w:smallCaps w:val="0"/>
          <w:color w:val="000000" w:themeColor="text1"/>
          <w:sz w:val="32"/>
          <w:szCs w:val="32"/>
          <w:highlight w:val="none"/>
          <w14:textFill>
            <w14:solidFill>
              <w14:schemeClr w14:val="tx1"/>
            </w14:solidFill>
          </w14:textFill>
        </w:rPr>
      </w:pPr>
      <w:bookmarkStart w:id="104" w:name="_Toc23625"/>
      <w:bookmarkStart w:id="105" w:name="_Toc10174"/>
      <w:r>
        <w:rPr>
          <w:rFonts w:hint="eastAsia" w:ascii="Times New Roman" w:hAnsi="Times New Roman" w:cs="楷体"/>
          <w:smallCaps w:val="0"/>
          <w:color w:val="000000" w:themeColor="text1"/>
          <w:sz w:val="32"/>
          <w:szCs w:val="32"/>
          <w:highlight w:val="none"/>
          <w14:textFill>
            <w14:solidFill>
              <w14:schemeClr w14:val="tx1"/>
            </w14:solidFill>
          </w14:textFill>
        </w:rPr>
        <w:t>第</w:t>
      </w:r>
      <w:r>
        <w:rPr>
          <w:rFonts w:hint="eastAsia" w:ascii="Times New Roman" w:hAnsi="Times New Roman" w:cs="楷体"/>
          <w:smallCaps w:val="0"/>
          <w:color w:val="000000" w:themeColor="text1"/>
          <w:sz w:val="32"/>
          <w:szCs w:val="32"/>
          <w:highlight w:val="none"/>
          <w:lang w:val="en-US" w:eastAsia="zh-CN"/>
          <w14:textFill>
            <w14:solidFill>
              <w14:schemeClr w14:val="tx1"/>
            </w14:solidFill>
          </w14:textFill>
        </w:rPr>
        <w:t>五</w:t>
      </w:r>
      <w:r>
        <w:rPr>
          <w:rFonts w:hint="eastAsia" w:ascii="Times New Roman" w:hAnsi="Times New Roman" w:cs="楷体"/>
          <w:smallCaps w:val="0"/>
          <w:color w:val="000000" w:themeColor="text1"/>
          <w:sz w:val="32"/>
          <w:szCs w:val="32"/>
          <w:highlight w:val="none"/>
          <w14:textFill>
            <w14:solidFill>
              <w14:schemeClr w14:val="tx1"/>
            </w14:solidFill>
          </w14:textFill>
        </w:rPr>
        <w:t>节 提升现代文旅产业</w:t>
      </w:r>
      <w:bookmarkEnd w:id="102"/>
      <w:bookmarkEnd w:id="103"/>
      <w:bookmarkEnd w:id="104"/>
      <w:bookmarkEnd w:id="105"/>
    </w:p>
    <w:p w14:paraId="617407DF">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hint="eastAsia" w:ascii="Times New Roman" w:hAnsi="Times New Roman" w:eastAsia="方正仿宋_GB2312" w:cs="方正仿宋_GB2312"/>
          <w:b w:val="0"/>
          <w:bCs/>
          <w:smallCaps w:val="0"/>
          <w:color w:val="000000"/>
          <w:kern w:val="2"/>
          <w:sz w:val="32"/>
          <w:szCs w:val="32"/>
          <w:lang w:val="en-US" w:eastAsia="zh-CN"/>
        </w:rPr>
      </w:pPr>
      <w:r>
        <w:rPr>
          <w:rFonts w:hint="eastAsia" w:ascii="Times New Roman" w:hAnsi="Times New Roman" w:cs="仿宋"/>
          <w:smallCaps w:val="0"/>
          <w:color w:val="000000" w:themeColor="text1"/>
          <w:sz w:val="32"/>
          <w:szCs w:val="32"/>
          <w:highlight w:val="none"/>
          <w14:textFill>
            <w14:solidFill>
              <w14:schemeClr w14:val="tx1"/>
            </w14:solidFill>
          </w14:textFill>
        </w:rPr>
        <w:t>依托全市文旅资源，突出历史文化、农耕文化、红色文化、 廉政文化、非遗专题等特色主题，培育发展现代文旅产业。</w:t>
      </w:r>
      <w:r>
        <w:rPr>
          <w:rFonts w:hint="eastAsia" w:ascii="Times New Roman" w:hAnsi="Times New Roman" w:eastAsia="方正仿宋_GB2312" w:cs="方正仿宋_GB2312"/>
          <w:b w:val="0"/>
          <w:bCs/>
          <w:smallCaps w:val="0"/>
          <w:color w:val="000000"/>
          <w:kern w:val="2"/>
          <w:sz w:val="32"/>
          <w:szCs w:val="32"/>
          <w:lang w:val="en-US" w:eastAsia="zh-CN"/>
        </w:rPr>
        <w:t>力争到2030年形成80亿级产业集群。</w:t>
      </w:r>
    </w:p>
    <w:p w14:paraId="5ACE0C64">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ascii="Times New Roman" w:hAnsi="Times New Roman"/>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kern w:val="0"/>
          <w:sz w:val="32"/>
          <w:szCs w:val="32"/>
          <w:highlight w:val="none"/>
          <w:lang w:bidi="ar"/>
          <w14:textFill>
            <w14:solidFill>
              <w14:schemeClr w14:val="tx1"/>
            </w14:solidFill>
          </w14:textFill>
        </w:rPr>
        <w:t>城市文旅产业。</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盘活历史人文景点、特色美食等资源，重点提升铁路历史文化街区、华宇幸福里、荣超金未来</w:t>
      </w:r>
      <w:r>
        <w:rPr>
          <w:rFonts w:hint="eastAsia" w:ascii="Times New Roman" w:hAnsi="Times New Roman" w:cs="仿宋"/>
          <w:smallCaps w:val="0"/>
          <w:color w:val="000000" w:themeColor="text1"/>
          <w:kern w:val="0"/>
          <w:sz w:val="32"/>
          <w:szCs w:val="32"/>
          <w:highlight w:val="none"/>
          <w:lang w:eastAsia="zh-CN" w:bidi="ar"/>
          <w14:textFill>
            <w14:solidFill>
              <w14:schemeClr w14:val="tx1"/>
            </w14:solidFill>
          </w14:textFill>
        </w:rPr>
        <w:t>、</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怀德大剧院</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等休闲街区功能，拓展文旅消费新场景。培育文博艺术、数字科技、音乐演艺、主题宿集、美食体验、街区乐购等业态，建立“吃、住、行、游、购、娱”全要素服务体系，打造高品质城市文旅商贸集聚区。</w:t>
      </w:r>
    </w:p>
    <w:p w14:paraId="737DA35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cs="仿宋"/>
          <w:smallCaps w:val="0"/>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 w:cs="仿宋"/>
          <w:b/>
          <w:bCs/>
          <w:smallCaps w:val="0"/>
          <w:color w:val="000000" w:themeColor="text1"/>
          <w:kern w:val="0"/>
          <w:sz w:val="32"/>
          <w:szCs w:val="32"/>
          <w:highlight w:val="none"/>
          <w:lang w:bidi="ar"/>
          <w14:textFill>
            <w14:solidFill>
              <w14:schemeClr w14:val="tx1"/>
            </w14:solidFill>
          </w14:textFill>
        </w:rPr>
        <w:t>乡村旅游产业。</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重点打造南崴子街道、二十家子镇、龙山乡等沿线乡村旅游观光带。推动大龙山文化园建设满族民俗沉浸式体验区，开发</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演员</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演绎、亲子游乐等项目</w:t>
      </w:r>
      <w:r>
        <w:rPr>
          <w:rFonts w:hint="eastAsia" w:ascii="Times New Roman" w:hAnsi="Times New Roman" w:cs="仿宋"/>
          <w:smallCaps w:val="0"/>
          <w:color w:val="000000" w:themeColor="text1"/>
          <w:kern w:val="0"/>
          <w:sz w:val="32"/>
          <w:szCs w:val="32"/>
          <w:highlight w:val="none"/>
          <w:lang w:eastAsia="zh-CN" w:bidi="ar"/>
          <w14:textFill>
            <w14:solidFill>
              <w14:schemeClr w14:val="tx1"/>
            </w14:solidFill>
          </w14:textFill>
        </w:rPr>
        <w:t>。</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推动双青湖风景区打造夏季荷花田园休闲基地、冬季特色冰钓旅游基地。串联怀德问心文化展馆、马占山将军纪念馆、于凤至故居等节点，策划推出四季精品旅游线路。</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围绕长春半小时都市圈培育开发蔬果采摘、田园风光、村房短住等乡村旅游新目的地。</w:t>
      </w:r>
    </w:p>
    <w:p w14:paraId="57410FF2">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ascii="Times New Roman" w:hAnsi="Times New Roman"/>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kern w:val="0"/>
          <w:sz w:val="32"/>
          <w:szCs w:val="32"/>
          <w:highlight w:val="none"/>
          <w:lang w:bidi="ar"/>
          <w14:textFill>
            <w14:solidFill>
              <w14:schemeClr w14:val="tx1"/>
            </w14:solidFill>
          </w14:textFill>
        </w:rPr>
        <w:t>冰雪旅游产业。</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打造冰雪消费新场景，鼓励双青湖、大龙山文化园开发特色化、差异化冰雪游乐产品，推动景区从单季运营向四季旅游转变。支持重点乡镇打造冰雪景观体验区。盘活冬季河塘浅滩天然冰场资源，拓展冰雪运动空间。持续举办冰雪开幕式、年货大集、雪地秧歌、冰钓、冰雪趣味运动会等品牌活动，提升冬季城市活力。</w:t>
      </w:r>
    </w:p>
    <w:p w14:paraId="1A64A559">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ascii="Times New Roman" w:hAnsi="Times New Roman"/>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kern w:val="0"/>
          <w:sz w:val="32"/>
          <w:szCs w:val="32"/>
          <w:highlight w:val="none"/>
          <w:lang w:bidi="ar"/>
          <w14:textFill>
            <w14:solidFill>
              <w14:schemeClr w14:val="tx1"/>
            </w14:solidFill>
          </w14:textFill>
        </w:rPr>
        <w:t>旅游商品产业。</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坚持推动文旅体活动进景区、进街区、进商圈、进公园广场，实现资源共享、客源互送。按照传统工艺品、地方特色商品、文化创意商品分类，挖掘优质非遗技艺项目、特色商品，开发一批特色文创产品和伴手礼</w:t>
      </w:r>
      <w:r>
        <w:rPr>
          <w:rFonts w:hint="eastAsia" w:ascii="Times New Roman" w:hAnsi="Times New Roman" w:cs="仿宋"/>
          <w:smallCaps w:val="0"/>
          <w:color w:val="000000" w:themeColor="text1"/>
          <w:kern w:val="0"/>
          <w:sz w:val="32"/>
          <w:szCs w:val="32"/>
          <w:highlight w:val="none"/>
          <w:lang w:eastAsia="zh-CN" w:bidi="ar"/>
          <w14:textFill>
            <w14:solidFill>
              <w14:schemeClr w14:val="tx1"/>
            </w14:solidFill>
          </w14:textFill>
        </w:rPr>
        <w:t>，以</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 xml:space="preserve">故事化讲述、推介城市文化内涵，建立全域“公主有礼”名册，推出“公主有礼”系列特色产品。 </w:t>
      </w:r>
    </w:p>
    <w:p w14:paraId="1E170312">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eastAsia" w:ascii="Times New Roman" w:hAnsi="Times New Roman" w:eastAsia="仿宋"/>
          <w:smallCaps w:val="0"/>
          <w:color w:val="000000" w:themeColor="text1"/>
          <w:sz w:val="32"/>
          <w:szCs w:val="32"/>
          <w:highlight w:val="none"/>
          <w14:textFill>
            <w14:solidFill>
              <w14:schemeClr w14:val="tx1"/>
            </w14:solidFill>
          </w14:textFill>
        </w:rPr>
      </w:pPr>
      <w:r>
        <w:rPr>
          <w:rFonts w:hint="eastAsia" w:ascii="Times New Roman" w:hAnsi="Times New Roman" w:eastAsia="仿宋" w:cs="仿宋"/>
          <w:b/>
          <w:bCs/>
          <w:smallCaps w:val="0"/>
          <w:color w:val="000000" w:themeColor="text1"/>
          <w:kern w:val="0"/>
          <w:sz w:val="32"/>
          <w:szCs w:val="32"/>
          <w:highlight w:val="none"/>
          <w:lang w:bidi="ar"/>
          <w14:textFill>
            <w14:solidFill>
              <w14:schemeClr w14:val="tx1"/>
            </w14:solidFill>
          </w14:textFill>
        </w:rPr>
        <w:t>打造文旅核心IP。</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加大城市宣推力度，打造1</w:t>
      </w:r>
      <w:r>
        <w:rPr>
          <w:rFonts w:hint="eastAsia" w:ascii="Times New Roman" w:hAnsi="Times New Roman" w:cs="仿宋"/>
          <w:smallCaps w:val="0"/>
          <w:color w:val="000000" w:themeColor="text1"/>
          <w:kern w:val="0"/>
          <w:sz w:val="32"/>
          <w:szCs w:val="32"/>
          <w:highlight w:val="none"/>
          <w:lang w:eastAsia="zh-CN" w:bidi="ar"/>
          <w14:textFill>
            <w14:solidFill>
              <w14:schemeClr w14:val="tx1"/>
            </w14:solidFill>
          </w14:textFill>
        </w:rPr>
        <w:t>—</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2个具有区域影响力的爆款文旅事件或内容产品，</w:t>
      </w:r>
      <w:r>
        <w:rPr>
          <w:rFonts w:hint="eastAsia" w:ascii="Times New Roman" w:hAnsi="Times New Roman" w:eastAsia="仿宋"/>
          <w:smallCaps w:val="0"/>
          <w:color w:val="000000" w:themeColor="text1"/>
          <w:sz w:val="32"/>
          <w:szCs w:val="32"/>
          <w:highlight w:val="none"/>
          <w14:textFill>
            <w14:solidFill>
              <w14:schemeClr w14:val="tx1"/>
            </w14:solidFill>
          </w14:textFill>
        </w:rPr>
        <w:t>推出一系列高质量宣传产品，系统推广美景美食。</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聚焦特色美食，在南部沿线打造</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全</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鱼</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宴</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美食</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品牌</w:t>
      </w:r>
      <w:r>
        <w:rPr>
          <w:rFonts w:hint="eastAsia" w:ascii="Times New Roman" w:hAnsi="Times New Roman" w:cs="仿宋"/>
          <w:smallCaps w:val="0"/>
          <w:color w:val="000000" w:themeColor="text1"/>
          <w:kern w:val="0"/>
          <w:sz w:val="32"/>
          <w:szCs w:val="32"/>
          <w:highlight w:val="none"/>
          <w:lang w:eastAsia="zh-CN" w:bidi="ar"/>
          <w14:textFill>
            <w14:solidFill>
              <w14:schemeClr w14:val="tx1"/>
            </w14:solidFill>
          </w14:textFill>
        </w:rPr>
        <w:t>，</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宣传南崴子冷面、秦家屯</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朝鲜族风味</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、黑林子烧烤等乡野风味，</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营造</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东北烧烤、夜市的热闹场景，传递地道东北饮食文化与烟火温情，打造具有辨识度的美食品牌。</w:t>
      </w:r>
    </w:p>
    <w:p w14:paraId="24F787A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ascii="Times New Roman" w:hAnsi="Times New Roman" w:eastAsia="仿宋" w:cs="仿宋"/>
          <w:smallCaps w:val="0"/>
          <w:color w:val="000000" w:themeColor="text1"/>
          <w:kern w:val="0"/>
          <w:sz w:val="32"/>
          <w:szCs w:val="32"/>
          <w:highlight w:val="none"/>
          <w:lang w:bidi="ar"/>
          <w14:textFill>
            <w14:solidFill>
              <w14:schemeClr w14:val="tx1"/>
            </w14:solidFill>
          </w14:textFill>
        </w:rPr>
      </w:pPr>
      <w:r>
        <w:rPr>
          <w:rFonts w:hint="eastAsia" w:ascii="Times New Roman" w:hAnsi="Times New Roman" w:eastAsia="仿宋" w:cs="仿宋"/>
          <w:b/>
          <w:bCs/>
          <w:smallCaps w:val="0"/>
          <w:color w:val="000000" w:themeColor="text1"/>
          <w:kern w:val="0"/>
          <w:sz w:val="32"/>
          <w:szCs w:val="32"/>
          <w:highlight w:val="none"/>
          <w:lang w:bidi="ar"/>
          <w14:textFill>
            <w14:solidFill>
              <w14:schemeClr w14:val="tx1"/>
            </w14:solidFill>
          </w14:textFill>
        </w:rPr>
        <w:t>文旅新兴业态。</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积极探索商文旅、农文旅、工文旅、体文旅等“文旅</w:t>
      </w:r>
      <w:r>
        <w:rPr>
          <w:rFonts w:ascii="Times New Roman" w:hAnsi="Times New Roman"/>
          <w:smallCaps w:val="0"/>
          <w:color w:val="000000" w:themeColor="text1"/>
          <w:kern w:val="0"/>
          <w:sz w:val="32"/>
          <w:szCs w:val="32"/>
          <w:highlight w:val="none"/>
          <w:lang w:bidi="ar"/>
          <w14:textFill>
            <w14:solidFill>
              <w14:schemeClr w14:val="tx1"/>
            </w14:solidFill>
          </w14:textFill>
        </w:rPr>
        <w:t>+</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w:t>
      </w:r>
      <w:r>
        <w:rPr>
          <w:rFonts w:ascii="Times New Roman" w:hAnsi="Times New Roman"/>
          <w:smallCaps w:val="0"/>
          <w:color w:val="000000" w:themeColor="text1"/>
          <w:kern w:val="0"/>
          <w:sz w:val="32"/>
          <w:szCs w:val="32"/>
          <w:highlight w:val="none"/>
          <w:lang w:bidi="ar"/>
          <w14:textFill>
            <w14:solidFill>
              <w14:schemeClr w14:val="tx1"/>
            </w14:solidFill>
          </w14:textFill>
        </w:rPr>
        <w:t>+</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文旅”模式。整合商业、工业、农业、体育等多领域资源，鼓励长春</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国家</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农高区科创中心、新怀德洞藏酒基地、南崴子稻渔科技小院等主体参与文旅发展，发展研学旅游、康养旅游、“低空</w:t>
      </w:r>
      <w:r>
        <w:rPr>
          <w:rFonts w:ascii="Times New Roman" w:hAnsi="Times New Roman"/>
          <w:smallCaps w:val="0"/>
          <w:color w:val="000000" w:themeColor="text1"/>
          <w:kern w:val="0"/>
          <w:sz w:val="32"/>
          <w:szCs w:val="32"/>
          <w:highlight w:val="none"/>
          <w:lang w:bidi="ar"/>
          <w14:textFill>
            <w14:solidFill>
              <w14:schemeClr w14:val="tx1"/>
            </w14:solidFill>
          </w14:textFill>
        </w:rPr>
        <w:t>+</w:t>
      </w:r>
      <w:r>
        <w:rPr>
          <w:rFonts w:hint="eastAsia" w:ascii="Times New Roman" w:hAnsi="Times New Roman" w:eastAsia="仿宋" w:cs="仿宋"/>
          <w:smallCaps w:val="0"/>
          <w:color w:val="000000" w:themeColor="text1"/>
          <w:kern w:val="0"/>
          <w:sz w:val="32"/>
          <w:szCs w:val="32"/>
          <w:highlight w:val="none"/>
          <w:lang w:bidi="ar"/>
          <w14:textFill>
            <w14:solidFill>
              <w14:schemeClr w14:val="tx1"/>
            </w14:solidFill>
          </w14:textFill>
        </w:rPr>
        <w:t xml:space="preserve">”等文旅新业态。 </w:t>
      </w:r>
    </w:p>
    <w:p w14:paraId="1D88F722">
      <w:pPr>
        <w:pStyle w:val="3"/>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outlineLvl w:val="0"/>
        <w:rPr>
          <w:rFonts w:ascii="Times New Roman" w:hAnsi="Times New Roman"/>
          <w:smallCaps w:val="0"/>
          <w:color w:val="000000" w:themeColor="text1"/>
          <w:sz w:val="32"/>
          <w:szCs w:val="32"/>
          <w:highlight w:val="none"/>
          <w14:textFill>
            <w14:solidFill>
              <w14:schemeClr w14:val="tx1"/>
            </w14:solidFill>
          </w14:textFill>
        </w:rPr>
      </w:pPr>
      <w:bookmarkStart w:id="106" w:name="_Toc27386"/>
      <w:bookmarkStart w:id="107" w:name="_Toc29982"/>
      <w:bookmarkStart w:id="108" w:name="_Toc24051"/>
      <w:bookmarkStart w:id="109" w:name="_Toc21300"/>
      <w:r>
        <w:rPr>
          <w:rFonts w:hint="eastAsia" w:ascii="Times New Roman" w:hAnsi="Times New Roman"/>
          <w:smallCaps w:val="0"/>
          <w:color w:val="000000" w:themeColor="text1"/>
          <w:sz w:val="32"/>
          <w:szCs w:val="32"/>
          <w:highlight w:val="none"/>
          <w14:textFill>
            <w14:solidFill>
              <w14:schemeClr w14:val="tx1"/>
            </w14:solidFill>
          </w14:textFill>
        </w:rPr>
        <w:t xml:space="preserve">第六节 </w:t>
      </w:r>
      <w:r>
        <w:rPr>
          <w:rFonts w:hint="eastAsia" w:ascii="Times New Roman" w:hAnsi="Times New Roman"/>
          <w:smallCaps w:val="0"/>
          <w:color w:val="000000" w:themeColor="text1"/>
          <w:sz w:val="32"/>
          <w:szCs w:val="32"/>
          <w:highlight w:val="none"/>
          <w:lang w:val="en-US" w:eastAsia="zh-CN"/>
          <w14:textFill>
            <w14:solidFill>
              <w14:schemeClr w14:val="tx1"/>
            </w14:solidFill>
          </w14:textFill>
        </w:rPr>
        <w:t>打造</w:t>
      </w:r>
      <w:r>
        <w:rPr>
          <w:rFonts w:hint="eastAsia" w:ascii="Times New Roman" w:hAnsi="Times New Roman"/>
          <w:smallCaps w:val="0"/>
          <w:color w:val="000000" w:themeColor="text1"/>
          <w:sz w:val="32"/>
          <w:szCs w:val="32"/>
          <w:highlight w:val="none"/>
          <w14:textFill>
            <w14:solidFill>
              <w14:schemeClr w14:val="tx1"/>
            </w14:solidFill>
          </w14:textFill>
        </w:rPr>
        <w:t>高端农业服务业</w:t>
      </w:r>
      <w:bookmarkEnd w:id="106"/>
      <w:bookmarkEnd w:id="107"/>
      <w:bookmarkEnd w:id="108"/>
      <w:bookmarkEnd w:id="109"/>
    </w:p>
    <w:p w14:paraId="7043E251">
      <w:pPr>
        <w:keepNext w:val="0"/>
        <w:keepLines w:val="0"/>
        <w:pageBreakBefore w:val="0"/>
        <w:widowControl w:val="0"/>
        <w:suppressLineNumbers w:val="0"/>
        <w:kinsoku/>
        <w:wordWrap/>
        <w:overflowPunct/>
        <w:topLinePunct w:val="0"/>
        <w:autoSpaceDE/>
        <w:autoSpaceDN/>
        <w:bidi w:val="0"/>
        <w:adjustRightInd/>
        <w:snapToGrid/>
        <w:spacing w:line="576" w:lineRule="exact"/>
        <w:ind w:left="0"/>
        <w:jc w:val="left"/>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smallCaps w:val="0"/>
          <w:color w:val="000000" w:themeColor="text1"/>
          <w:sz w:val="32"/>
          <w:szCs w:val="32"/>
          <w:highlight w:val="none"/>
          <w14:textFill>
            <w14:solidFill>
              <w14:schemeClr w14:val="tx1"/>
            </w14:solidFill>
          </w14:textFill>
        </w:rPr>
        <w:t>按照“四个农业”发展要求，推动智慧服务、电商服务、展销服务、装备服务等行业发展，打造高端农业服务产业先行区。</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力争到2030年示范类农业主体数量达到700家。</w:t>
      </w:r>
    </w:p>
    <w:p w14:paraId="7F53790D">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hint="eastAsia"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智慧农业服务产业。</w:t>
      </w:r>
      <w:r>
        <w:rPr>
          <w:rFonts w:hint="eastAsia" w:ascii="Times New Roman" w:hAnsi="Times New Roman" w:cs="仿宋"/>
          <w:smallCaps w:val="0"/>
          <w:color w:val="000000" w:themeColor="text1"/>
          <w:sz w:val="32"/>
          <w:szCs w:val="32"/>
          <w:highlight w:val="none"/>
          <w14:textFill>
            <w14:solidFill>
              <w14:schemeClr w14:val="tx1"/>
            </w14:solidFill>
          </w14:textFill>
        </w:rPr>
        <w:t>建设乡村振兴综合智能服务云平台，整合遥感监测、视频监控、气象服务、无人机巡查、水肥一体化等功能，探索建立区域性农业大数据中心，为生产经营和科学决策提供数据支撑。</w:t>
      </w:r>
    </w:p>
    <w:p w14:paraId="40F0890B">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电商农业服务产业。</w:t>
      </w:r>
      <w:r>
        <w:rPr>
          <w:rFonts w:hint="eastAsia" w:ascii="Times New Roman" w:hAnsi="Times New Roman" w:cs="仿宋"/>
          <w:smallCaps w:val="0"/>
          <w:color w:val="000000" w:themeColor="text1"/>
          <w:sz w:val="32"/>
          <w:szCs w:val="32"/>
          <w:highlight w:val="none"/>
          <w14:textFill>
            <w14:solidFill>
              <w14:schemeClr w14:val="tx1"/>
            </w14:solidFill>
          </w14:textFill>
        </w:rPr>
        <w:t>深入实施“数商兴农”行动，提高农产品电商化水平。建设电商直播基地，与大型商超、电商平台建立稳定产销对接机制，健全县域电商服务中心、乡镇电商示范点、村级服务站点三级网络。积极发展农村电商、直播带货等新业态，孵化培育本地直播团队和农村电商人才。</w:t>
      </w:r>
    </w:p>
    <w:p w14:paraId="5F37392B">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展销农业服务产业。</w:t>
      </w:r>
      <w:r>
        <w:rPr>
          <w:rFonts w:hint="eastAsia" w:ascii="Times New Roman" w:hAnsi="Times New Roman" w:cs="仿宋"/>
          <w:smallCaps w:val="0"/>
          <w:color w:val="000000" w:themeColor="text1"/>
          <w:sz w:val="32"/>
          <w:szCs w:val="32"/>
          <w:highlight w:val="none"/>
          <w14:textFill>
            <w14:solidFill>
              <w14:schemeClr w14:val="tx1"/>
            </w14:solidFill>
          </w14:textFill>
        </w:rPr>
        <w:t>积极承办或组织农产品展销推广活动，遴选优质涉农企业和新型经营主体参加中国玉米产业博览会、中国农交会、长春农博会等展会，加强产销对接，提升品牌影响力，拓宽农产品销售渠道。</w:t>
      </w:r>
    </w:p>
    <w:p w14:paraId="007FBD4A">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hint="eastAsia" w:ascii="Times New Roman" w:hAnsi="Times New Roman" w:eastAsia="仿宋" w:cs="仿宋"/>
          <w:smallCaps w:val="0"/>
          <w:color w:val="000000" w:themeColor="text1"/>
          <w:sz w:val="32"/>
          <w:szCs w:val="32"/>
          <w:highlight w:val="none"/>
          <w:lang w:eastAsia="zh-CN"/>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农业装备服务产业。</w:t>
      </w:r>
      <w:bookmarkStart w:id="110" w:name="_Toc12049"/>
      <w:bookmarkStart w:id="111" w:name="_Toc10600"/>
      <w:r>
        <w:rPr>
          <w:rFonts w:hint="eastAsia" w:ascii="Times New Roman" w:hAnsi="Times New Roman" w:cs="仿宋"/>
          <w:smallCaps w:val="0"/>
          <w:color w:val="000000" w:themeColor="text1"/>
          <w:sz w:val="32"/>
          <w:szCs w:val="32"/>
          <w:highlight w:val="none"/>
          <w14:textFill>
            <w14:solidFill>
              <w14:schemeClr w14:val="tx1"/>
            </w14:solidFill>
          </w14:textFill>
        </w:rPr>
        <w:t>推动农机服务从粮食作物向特色作物、养殖业配套延伸，从耕种收向产前、产中、产后全链条拓展。鼓励服务主体提高跨区作业效率，建设区域性农机服务中心和应急服务队，支持创建一批“全程机械化+综合农事”服务中心，为农户提供“一站式”田间服务</w:t>
      </w:r>
      <w:r>
        <w:rPr>
          <w:rFonts w:hint="eastAsia" w:ascii="Times New Roman" w:hAnsi="Times New Roman" w:cs="仿宋"/>
          <w:smallCaps w:val="0"/>
          <w:color w:val="000000" w:themeColor="text1"/>
          <w:sz w:val="32"/>
          <w:szCs w:val="32"/>
          <w:highlight w:val="none"/>
          <w:lang w:eastAsia="zh-CN"/>
          <w14:textFill>
            <w14:solidFill>
              <w14:schemeClr w14:val="tx1"/>
            </w14:solidFill>
          </w14:textFill>
        </w:rPr>
        <w:t>。</w:t>
      </w:r>
    </w:p>
    <w:p w14:paraId="45EDB679">
      <w:pPr>
        <w:pStyle w:val="3"/>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outlineLvl w:val="0"/>
        <w:rPr>
          <w:rFonts w:ascii="Times New Roman" w:hAnsi="Times New Roman"/>
          <w:smallCaps w:val="0"/>
          <w:color w:val="000000" w:themeColor="text1"/>
          <w:sz w:val="32"/>
          <w:szCs w:val="32"/>
          <w:highlight w:val="none"/>
          <w14:textFill>
            <w14:solidFill>
              <w14:schemeClr w14:val="tx1"/>
            </w14:solidFill>
          </w14:textFill>
        </w:rPr>
      </w:pPr>
      <w:bookmarkStart w:id="112" w:name="_Toc19445"/>
      <w:bookmarkStart w:id="113" w:name="_Toc17761"/>
      <w:bookmarkStart w:id="114" w:name="_Toc27471"/>
      <w:bookmarkStart w:id="115" w:name="_Toc27933"/>
      <w:bookmarkStart w:id="116" w:name="_Toc30363"/>
      <w:r>
        <w:rPr>
          <w:rFonts w:hint="eastAsia" w:ascii="Times New Roman" w:hAnsi="Times New Roman"/>
          <w:smallCaps w:val="0"/>
          <w:color w:val="000000" w:themeColor="text1"/>
          <w:sz w:val="32"/>
          <w:szCs w:val="32"/>
          <w:highlight w:val="none"/>
          <w14:textFill>
            <w14:solidFill>
              <w14:schemeClr w14:val="tx1"/>
            </w14:solidFill>
          </w14:textFill>
        </w:rPr>
        <w:t xml:space="preserve">第七节 </w:t>
      </w:r>
      <w:bookmarkEnd w:id="110"/>
      <w:bookmarkEnd w:id="111"/>
      <w:bookmarkEnd w:id="112"/>
      <w:r>
        <w:rPr>
          <w:rFonts w:hint="eastAsia" w:ascii="Times New Roman" w:hAnsi="Times New Roman"/>
          <w:smallCaps w:val="0"/>
          <w:color w:val="000000" w:themeColor="text1"/>
          <w:sz w:val="32"/>
          <w:szCs w:val="32"/>
          <w:highlight w:val="none"/>
          <w14:textFill>
            <w14:solidFill>
              <w14:schemeClr w14:val="tx1"/>
            </w14:solidFill>
          </w14:textFill>
        </w:rPr>
        <w:t>培育产业新兴增长点</w:t>
      </w:r>
      <w:bookmarkEnd w:id="113"/>
      <w:bookmarkEnd w:id="114"/>
      <w:bookmarkEnd w:id="115"/>
      <w:bookmarkEnd w:id="116"/>
    </w:p>
    <w:p w14:paraId="110BA5C0">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ascii="Times New Roman" w:hAnsi="Times New Roman" w:cs="仿宋"/>
          <w:smallCaps w:val="0"/>
          <w:color w:val="000000" w:themeColor="text1"/>
          <w:sz w:val="32"/>
          <w:szCs w:val="32"/>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能源产业。</w:t>
      </w:r>
      <w:r>
        <w:rPr>
          <w:rFonts w:hint="eastAsia" w:ascii="Times New Roman" w:hAnsi="Times New Roman" w:cs="仿宋"/>
          <w:smallCaps w:val="0"/>
          <w:color w:val="000000" w:themeColor="text1"/>
          <w:sz w:val="32"/>
          <w:szCs w:val="32"/>
          <w:highlight w:val="none"/>
          <w14:textFill>
            <w14:solidFill>
              <w14:schemeClr w14:val="tx1"/>
            </w14:solidFill>
          </w14:textFill>
        </w:rPr>
        <w:t>共建长春现代化都市圈能源产业带，围绕重大能源基础设施布局，提升本地及都市圈能源资源协同利用能力。因地制宜发展油气、风电、光伏、生物质等细分产业，积极推广可再生能源分布式应用，建设能源储备中心等基础设施，推进秸秆、粪污等生物质资源能源化利用。支持</w:t>
      </w:r>
      <w:r>
        <w:rPr>
          <w:rFonts w:hint="eastAsia" w:ascii="Times New Roman" w:hAnsi="Times New Roman" w:cs="仿宋"/>
          <w:smallCaps w:val="0"/>
          <w:color w:val="000000" w:themeColor="text1"/>
          <w:sz w:val="32"/>
          <w:szCs w:val="32"/>
          <w:highlight w:val="none"/>
          <w:lang w:val="en-US" w:eastAsia="zh-CN"/>
          <w14:textFill>
            <w14:solidFill>
              <w14:schemeClr w14:val="tx1"/>
            </w14:solidFill>
          </w14:textFill>
        </w:rPr>
        <w:t>秦家屯、</w:t>
      </w:r>
      <w:r>
        <w:rPr>
          <w:rFonts w:hint="eastAsia" w:ascii="Times New Roman" w:hAnsi="Times New Roman" w:cs="仿宋"/>
          <w:smallCaps w:val="0"/>
          <w:color w:val="000000" w:themeColor="text1"/>
          <w:sz w:val="32"/>
          <w:szCs w:val="32"/>
          <w:highlight w:val="none"/>
          <w14:textFill>
            <w14:solidFill>
              <w14:schemeClr w14:val="tx1"/>
            </w14:solidFill>
          </w14:textFill>
        </w:rPr>
        <w:t>八屋、十屋、桑树台、玻璃城子等乡镇围绕油气等资源开展全产业链开发。强化能源运输、利用、消费等环节业态培育，全方位增强综合能源产业支撑能力。</w:t>
      </w:r>
    </w:p>
    <w:p w14:paraId="27699352">
      <w:pPr>
        <w:keepNext w:val="0"/>
        <w:keepLines w:val="0"/>
        <w:pageBreakBefore w:val="0"/>
        <w:widowControl w:val="0"/>
        <w:kinsoku/>
        <w:wordWrap/>
        <w:overflowPunct/>
        <w:topLinePunct w:val="0"/>
        <w:autoSpaceDE/>
        <w:autoSpaceDN/>
        <w:bidi w:val="0"/>
        <w:adjustRightInd/>
        <w:snapToGrid/>
        <w:spacing w:line="576" w:lineRule="exact"/>
        <w:ind w:left="0" w:firstLine="643"/>
        <w:jc w:val="both"/>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 w:val="32"/>
          <w:szCs w:val="32"/>
          <w:highlight w:val="none"/>
          <w14:textFill>
            <w14:solidFill>
              <w14:schemeClr w14:val="tx1"/>
            </w14:solidFill>
          </w14:textFill>
        </w:rPr>
        <w:t>低空经济。</w:t>
      </w:r>
      <w:r>
        <w:rPr>
          <w:rFonts w:hint="eastAsia" w:ascii="Times New Roman" w:hAnsi="Times New Roman" w:cs="仿宋"/>
          <w:smallCaps w:val="0"/>
          <w:color w:val="000000" w:themeColor="text1"/>
          <w:sz w:val="32"/>
          <w:szCs w:val="32"/>
          <w:highlight w:val="none"/>
          <w14:textFill>
            <w14:solidFill>
              <w14:schemeClr w14:val="tx1"/>
            </w14:solidFill>
          </w14:textFill>
        </w:rPr>
        <w:t>拓展“低空+”多元应用场景，强化物流配送、农业植保、文旅体验、社会治理等领域融合应用，探索无人机物流、精准作业、病虫害监测、航拍跟拍、应急救援、医疗转运、通信保障等新模式。丰富低</w:t>
      </w:r>
      <w:r>
        <w:rPr>
          <w:rFonts w:hint="eastAsia" w:ascii="Times New Roman" w:hAnsi="Times New Roman" w:cs="仿宋"/>
          <w:smallCaps w:val="0"/>
          <w:color w:val="000000" w:themeColor="text1"/>
          <w:highlight w:val="none"/>
          <w14:textFill>
            <w14:solidFill>
              <w14:schemeClr w14:val="tx1"/>
            </w14:solidFill>
          </w14:textFill>
        </w:rPr>
        <w:t>空消费体验，承接长春航展溢出效应，参与构建低空“一小时文旅圈”，培育低空运动、观光、飞行体验等业态。</w:t>
      </w:r>
    </w:p>
    <w:p w14:paraId="0EB7D9DE">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银发经济。</w:t>
      </w:r>
      <w:r>
        <w:rPr>
          <w:rFonts w:hint="eastAsia" w:ascii="Times New Roman" w:hAnsi="Times New Roman" w:cs="仿宋"/>
          <w:smallCaps w:val="0"/>
          <w:color w:val="000000" w:themeColor="text1"/>
          <w:highlight w:val="none"/>
          <w14:textFill>
            <w14:solidFill>
              <w14:schemeClr w14:val="tx1"/>
            </w14:solidFill>
          </w14:textFill>
        </w:rPr>
        <w:t>推动养老服务企业与机构、社区居家养老服务中心联动发展，培育一批规模化、专业化的养老服务企业，构建涵盖家政、助医、康复、助餐、心理关怀及智慧养老设备服务的产业链。建设医养结合示范市，坚持医养、医药结合，承接优质医疗资源转移，强化现有医疗机构特色优势，吸引域外知名医院设立分院或共建特色专科、医养结合综合体、医药生产综合体，系统支撑银发经济高质量发展。</w:t>
      </w:r>
    </w:p>
    <w:p w14:paraId="050CDB1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smallCaps w:val="0"/>
        </w:rPr>
      </w:pPr>
      <w:r>
        <w:rPr>
          <w:rFonts w:hint="eastAsia" w:ascii="Times New Roman" w:hAnsi="Times New Roman" w:cs="仿宋"/>
          <w:b/>
          <w:bCs/>
          <w:smallCaps w:val="0"/>
          <w:color w:val="000000" w:themeColor="text1"/>
          <w:highlight w:val="none"/>
          <w14:textFill>
            <w14:solidFill>
              <w14:schemeClr w14:val="tx1"/>
            </w14:solidFill>
          </w14:textFill>
        </w:rPr>
        <w:t>科技服务。</w:t>
      </w:r>
      <w:r>
        <w:rPr>
          <w:rFonts w:hint="eastAsia" w:ascii="Times New Roman" w:hAnsi="Times New Roman" w:cs="仿宋"/>
          <w:smallCaps w:val="0"/>
          <w:color w:val="000000" w:themeColor="text1"/>
          <w:highlight w:val="none"/>
          <w14:textFill>
            <w14:solidFill>
              <w14:schemeClr w14:val="tx1"/>
            </w14:solidFill>
          </w14:textFill>
        </w:rPr>
        <w:t>围绕</w:t>
      </w:r>
      <w:r>
        <w:rPr>
          <w:rFonts w:hint="eastAsia" w:ascii="Times New Roman" w:hAnsi="Times New Roman" w:cs="仿宋"/>
          <w:smallCaps w:val="0"/>
          <w:color w:val="000000" w:themeColor="text1"/>
          <w:highlight w:val="none"/>
          <w:lang w:val="en-US" w:eastAsia="zh-CN"/>
          <w14:textFill>
            <w14:solidFill>
              <w14:schemeClr w14:val="tx1"/>
            </w14:solidFill>
          </w14:textFill>
        </w:rPr>
        <w:t>长春国家</w:t>
      </w:r>
      <w:r>
        <w:rPr>
          <w:rFonts w:hint="eastAsia" w:ascii="Times New Roman" w:hAnsi="Times New Roman" w:cs="仿宋"/>
          <w:smallCaps w:val="0"/>
          <w:color w:val="000000" w:themeColor="text1"/>
          <w:highlight w:val="none"/>
          <w14:textFill>
            <w14:solidFill>
              <w14:schemeClr w14:val="tx1"/>
            </w14:solidFill>
          </w14:textFill>
        </w:rPr>
        <w:t>农高区与开发区建设需求，促进先进科技成果本地转化，谋划发展科技服务业，延伸知识产权代理、法律、信息、商用化、咨询培训等服务链条，引进培育一批高端知识产权服务机构，积极发展检验检测服务，联合长春汽开区共建检验检测认证集聚区。推动建设吉林省科技大市场农高区分市场、长春科技大市场农高区分市场、长春市科技金融中心农高区分中心等平台，支持省级新型研发机构、科技经纪机构等在岭设立服务载体，引导省属科技投资机构和科创基金在</w:t>
      </w:r>
      <w:r>
        <w:rPr>
          <w:rFonts w:hint="eastAsia" w:ascii="Times New Roman" w:hAnsi="Times New Roman" w:cs="仿宋"/>
          <w:smallCaps w:val="0"/>
          <w:color w:val="000000" w:themeColor="text1"/>
          <w:highlight w:val="none"/>
          <w:lang w:val="en-US" w:eastAsia="zh-CN"/>
          <w14:textFill>
            <w14:solidFill>
              <w14:schemeClr w14:val="tx1"/>
            </w14:solidFill>
          </w14:textFill>
        </w:rPr>
        <w:t>长春国家</w:t>
      </w:r>
      <w:r>
        <w:rPr>
          <w:rFonts w:hint="eastAsia" w:ascii="Times New Roman" w:hAnsi="Times New Roman" w:cs="仿宋"/>
          <w:smallCaps w:val="0"/>
          <w:color w:val="000000" w:themeColor="text1"/>
          <w:highlight w:val="none"/>
          <w14:textFill>
            <w14:solidFill>
              <w14:schemeClr w14:val="tx1"/>
            </w14:solidFill>
          </w14:textFill>
        </w:rPr>
        <w:t>农高区布局服务站点，全方位强化科技创新金融支撑。</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7"/>
        <w:gridCol w:w="5854"/>
      </w:tblGrid>
      <w:tr w14:paraId="65FF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9061" w:type="dxa"/>
            <w:gridSpan w:val="2"/>
            <w:vAlign w:val="center"/>
          </w:tcPr>
          <w:p w14:paraId="35FCC7D7">
            <w:pPr>
              <w:pStyle w:val="12"/>
              <w:snapToGrid w:val="0"/>
              <w:spacing w:line="340" w:lineRule="exact"/>
              <w:ind w:firstLine="0" w:firstLineChars="0"/>
              <w:jc w:val="center"/>
              <w:rPr>
                <w:rFonts w:ascii="Times New Roman" w:hAnsi="Times New Roman"/>
                <w:smallCaps w:val="0"/>
                <w:color w:val="000000" w:themeColor="text1"/>
                <w:highlight w:val="none"/>
                <w14:textFill>
                  <w14:solidFill>
                    <w14:schemeClr w14:val="tx1"/>
                  </w14:solidFill>
                </w14:textFill>
              </w:rPr>
            </w:pPr>
            <w:bookmarkStart w:id="117" w:name="_Toc17366"/>
            <w:bookmarkStart w:id="118" w:name="_Toc591"/>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2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现代产业体系重点项目</w:t>
            </w:r>
          </w:p>
        </w:tc>
      </w:tr>
      <w:tr w14:paraId="16E8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trPr>
        <w:tc>
          <w:tcPr>
            <w:tcW w:w="3207" w:type="dxa"/>
            <w:vAlign w:val="center"/>
          </w:tcPr>
          <w:p w14:paraId="6BBD20F9">
            <w:pPr>
              <w:ind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highlight w:val="none"/>
                <w14:textFill>
                  <w14:solidFill>
                    <w14:schemeClr w14:val="tx1"/>
                  </w14:solidFill>
                </w14:textFill>
              </w:rPr>
              <w:t>汽车及零部件产业重点项目</w:t>
            </w:r>
          </w:p>
        </w:tc>
        <w:tc>
          <w:tcPr>
            <w:tcW w:w="5854" w:type="dxa"/>
          </w:tcPr>
          <w:p w14:paraId="4E898353">
            <w:pPr>
              <w:spacing w:line="340" w:lineRule="exact"/>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b/>
                <w:bCs/>
                <w:smallCaps w:val="0"/>
                <w:color w:val="000000" w:themeColor="text1"/>
                <w:sz w:val="24"/>
                <w:highlight w:val="none"/>
                <w14:textFill>
                  <w14:solidFill>
                    <w14:schemeClr w14:val="tx1"/>
                  </w14:solidFill>
                </w14:textFill>
              </w:rPr>
              <w:t>推动实施</w:t>
            </w:r>
            <w:r>
              <w:rPr>
                <w:rFonts w:hint="eastAsia" w:ascii="Times New Roman" w:hAnsi="Times New Roman"/>
                <w:smallCaps w:val="0"/>
                <w:color w:val="000000" w:themeColor="text1"/>
                <w:sz w:val="24"/>
                <w:highlight w:val="none"/>
                <w:lang w:val="en-US" w:eastAsia="zh-CN"/>
                <w14:textFill>
                  <w14:solidFill>
                    <w14:schemeClr w14:val="tx1"/>
                  </w14:solidFill>
                </w14:textFill>
              </w:rPr>
              <w:t>汽车拆解、</w:t>
            </w:r>
            <w:r>
              <w:rPr>
                <w:rFonts w:hint="eastAsia" w:ascii="Times New Roman" w:hAnsi="Times New Roman"/>
                <w:smallCaps w:val="0"/>
                <w:color w:val="000000" w:themeColor="text1"/>
                <w:sz w:val="24"/>
                <w:highlight w:val="none"/>
                <w14:textFill>
                  <w14:solidFill>
                    <w14:schemeClr w14:val="tx1"/>
                  </w14:solidFill>
                </w14:textFill>
              </w:rPr>
              <w:t>汽车紧固件</w:t>
            </w:r>
            <w:r>
              <w:rPr>
                <w:rFonts w:hint="eastAsia" w:ascii="Times New Roman" w:hAnsi="Times New Roman"/>
                <w:smallCaps w:val="0"/>
                <w:color w:val="000000" w:themeColor="text1"/>
                <w:sz w:val="24"/>
                <w:highlight w:val="none"/>
                <w:lang w:eastAsia="zh-CN"/>
                <w14:textFill>
                  <w14:solidFill>
                    <w14:schemeClr w14:val="tx1"/>
                  </w14:solidFill>
                </w14:textFill>
              </w:rPr>
              <w:t>、</w:t>
            </w:r>
            <w:r>
              <w:rPr>
                <w:rFonts w:hint="eastAsia" w:ascii="Times New Roman" w:hAnsi="Times New Roman"/>
                <w:smallCaps w:val="0"/>
                <w:color w:val="000000" w:themeColor="text1"/>
                <w:sz w:val="24"/>
                <w:highlight w:val="none"/>
                <w:lang w:val="en-US" w:eastAsia="zh-CN"/>
                <w14:textFill>
                  <w14:solidFill>
                    <w14:schemeClr w14:val="tx1"/>
                  </w14:solidFill>
                </w14:textFill>
              </w:rPr>
              <w:t>高频传感器、</w:t>
            </w:r>
            <w:r>
              <w:rPr>
                <w:rFonts w:hint="eastAsia" w:ascii="Times New Roman" w:hAnsi="Times New Roman"/>
                <w:smallCaps w:val="0"/>
                <w:color w:val="000000" w:themeColor="text1"/>
                <w:sz w:val="24"/>
                <w:highlight w:val="none"/>
                <w14:textFill>
                  <w14:solidFill>
                    <w14:schemeClr w14:val="tx1"/>
                  </w14:solidFill>
                </w14:textFill>
              </w:rPr>
              <w:t>镁铝合金零部件生产</w:t>
            </w:r>
            <w:r>
              <w:rPr>
                <w:rFonts w:hint="eastAsia" w:ascii="Times New Roman" w:hAnsi="Times New Roman"/>
                <w:smallCaps w:val="0"/>
                <w:color w:val="000000" w:themeColor="text1"/>
                <w:sz w:val="24"/>
                <w:highlight w:val="none"/>
                <w:lang w:eastAsia="zh-CN"/>
                <w14:textFill>
                  <w14:solidFill>
                    <w14:schemeClr w14:val="tx1"/>
                  </w14:solidFill>
                </w14:textFill>
              </w:rPr>
              <w:t>、</w:t>
            </w:r>
            <w:r>
              <w:rPr>
                <w:rFonts w:hint="eastAsia" w:ascii="Times New Roman" w:hAnsi="Times New Roman"/>
                <w:smallCaps w:val="0"/>
                <w:color w:val="000000" w:themeColor="text1"/>
                <w:sz w:val="24"/>
                <w:highlight w:val="none"/>
                <w14:textFill>
                  <w14:solidFill>
                    <w14:schemeClr w14:val="tx1"/>
                  </w14:solidFill>
                </w14:textFill>
              </w:rPr>
              <w:t>汽车仪表板支架总成</w:t>
            </w:r>
            <w:r>
              <w:rPr>
                <w:rFonts w:hint="eastAsia" w:ascii="Times New Roman" w:hAnsi="Times New Roman"/>
                <w:smallCaps w:val="0"/>
                <w:color w:val="000000" w:themeColor="text1"/>
                <w:sz w:val="24"/>
                <w:highlight w:val="none"/>
                <w:lang w:eastAsia="zh-CN"/>
                <w14:textFill>
                  <w14:solidFill>
                    <w14:schemeClr w14:val="tx1"/>
                  </w14:solidFill>
                </w14:textFill>
              </w:rPr>
              <w:t>、</w:t>
            </w:r>
            <w:r>
              <w:rPr>
                <w:rFonts w:hint="eastAsia" w:ascii="Times New Roman" w:hAnsi="Times New Roman" w:cs="宋体"/>
                <w:smallCaps w:val="0"/>
                <w:color w:val="000000" w:themeColor="text1"/>
                <w:sz w:val="24"/>
                <w:highlight w:val="none"/>
                <w:lang w:val="en-US" w:eastAsia="zh-CN"/>
                <w14:textFill>
                  <w14:solidFill>
                    <w14:schemeClr w14:val="tx1"/>
                  </w14:solidFill>
                </w14:textFill>
              </w:rPr>
              <w:t>新能源内饰件和注塑件</w:t>
            </w:r>
            <w:r>
              <w:rPr>
                <w:rFonts w:hint="eastAsia" w:ascii="Times New Roman" w:hAnsi="Times New Roman"/>
                <w:smallCaps w:val="0"/>
                <w:color w:val="000000" w:themeColor="text1"/>
                <w:sz w:val="24"/>
                <w:highlight w:val="none"/>
                <w:lang w:val="en-US" w:eastAsia="zh-CN"/>
                <w14:textFill>
                  <w14:solidFill>
                    <w14:schemeClr w14:val="tx1"/>
                  </w14:solidFill>
                </w14:textFill>
              </w:rPr>
              <w:t>等项目建设</w:t>
            </w:r>
            <w:r>
              <w:rPr>
                <w:rFonts w:hint="eastAsia" w:ascii="Times New Roman" w:hAnsi="Times New Roman" w:cs="宋体"/>
                <w:smallCaps w:val="0"/>
                <w:color w:val="000000" w:themeColor="text1"/>
                <w:sz w:val="24"/>
                <w:highlight w:val="none"/>
                <w14:textFill>
                  <w14:solidFill>
                    <w14:schemeClr w14:val="tx1"/>
                  </w14:solidFill>
                </w14:textFill>
              </w:rPr>
              <w:t>。</w:t>
            </w:r>
          </w:p>
        </w:tc>
      </w:tr>
      <w:tr w14:paraId="3CD4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207" w:type="dxa"/>
            <w:vAlign w:val="center"/>
          </w:tcPr>
          <w:p w14:paraId="5F23E27F">
            <w:pPr>
              <w:ind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highlight w:val="none"/>
                <w14:textFill>
                  <w14:solidFill>
                    <w14:schemeClr w14:val="tx1"/>
                  </w14:solidFill>
                </w14:textFill>
              </w:rPr>
              <w:t>农产品加工产业重点项目</w:t>
            </w:r>
          </w:p>
        </w:tc>
        <w:tc>
          <w:tcPr>
            <w:tcW w:w="5854" w:type="dxa"/>
          </w:tcPr>
          <w:p w14:paraId="16B3480A">
            <w:pPr>
              <w:spacing w:line="340" w:lineRule="exact"/>
              <w:ind w:firstLine="0" w:firstLineChars="0"/>
              <w:rPr>
                <w:rFonts w:ascii="Times New Roman" w:hAnsi="Times New Roman"/>
                <w:smallCaps w:val="0"/>
                <w:color w:val="000000" w:themeColor="text1"/>
                <w:sz w:val="24"/>
                <w:highlight w:val="none"/>
                <w14:textFill>
                  <w14:solidFill>
                    <w14:schemeClr w14:val="tx1"/>
                  </w14:solidFill>
                </w14:textFill>
              </w:rPr>
            </w:pPr>
            <w:r>
              <w:rPr>
                <w:rFonts w:hint="eastAsia" w:ascii="Times New Roman" w:hAnsi="Times New Roman"/>
                <w:b/>
                <w:bCs/>
                <w:smallCaps w:val="0"/>
                <w:color w:val="000000" w:themeColor="text1"/>
                <w:sz w:val="24"/>
                <w:highlight w:val="none"/>
                <w14:textFill>
                  <w14:solidFill>
                    <w14:schemeClr w14:val="tx1"/>
                  </w14:solidFill>
                </w14:textFill>
              </w:rPr>
              <w:t>推动实施</w:t>
            </w:r>
            <w:r>
              <w:rPr>
                <w:rFonts w:hint="eastAsia" w:ascii="Times New Roman" w:hAnsi="Times New Roman"/>
                <w:smallCaps w:val="0"/>
                <w:color w:val="000000" w:themeColor="text1"/>
                <w:sz w:val="24"/>
                <w:highlight w:val="none"/>
                <w14:textFill>
                  <w14:solidFill>
                    <w14:schemeClr w14:val="tx1"/>
                  </w14:solidFill>
                </w14:textFill>
              </w:rPr>
              <w:t>乳</w:t>
            </w:r>
            <w:r>
              <w:rPr>
                <w:rFonts w:hint="eastAsia" w:ascii="Times New Roman" w:hAnsi="Times New Roman"/>
                <w:smallCaps w:val="0"/>
                <w:color w:val="000000" w:themeColor="text1"/>
                <w:sz w:val="24"/>
                <w:highlight w:val="none"/>
                <w:lang w:val="en-US" w:eastAsia="zh-CN"/>
                <w14:textFill>
                  <w14:solidFill>
                    <w14:schemeClr w14:val="tx1"/>
                  </w14:solidFill>
                </w14:textFill>
              </w:rPr>
              <w:t>制品</w:t>
            </w:r>
            <w:r>
              <w:rPr>
                <w:rFonts w:hint="eastAsia" w:ascii="Times New Roman" w:hAnsi="Times New Roman"/>
                <w:smallCaps w:val="0"/>
                <w:color w:val="000000" w:themeColor="text1"/>
                <w:sz w:val="24"/>
                <w:highlight w:val="none"/>
                <w14:textFill>
                  <w14:solidFill>
                    <w14:schemeClr w14:val="tx1"/>
                  </w14:solidFill>
                </w14:textFill>
              </w:rPr>
              <w:t>深加工、鲜食玉米加工等项目建设</w:t>
            </w:r>
            <w:r>
              <w:rPr>
                <w:rFonts w:hint="eastAsia" w:ascii="Times New Roman" w:hAnsi="Times New Roman"/>
                <w:smallCaps w:val="0"/>
                <w:color w:val="000000" w:themeColor="text1"/>
                <w:sz w:val="24"/>
                <w:highlight w:val="none"/>
                <w:lang w:eastAsia="zh-CN"/>
                <w14:textFill>
                  <w14:solidFill>
                    <w14:schemeClr w14:val="tx1"/>
                  </w14:solidFill>
                </w14:textFill>
              </w:rPr>
              <w:t>；</w:t>
            </w:r>
            <w:r>
              <w:rPr>
                <w:rFonts w:hint="eastAsia" w:ascii="Times New Roman" w:hAnsi="Times New Roman"/>
                <w:b/>
                <w:bCs/>
                <w:smallCaps w:val="0"/>
                <w:color w:val="000000" w:themeColor="text1"/>
                <w:sz w:val="24"/>
                <w:highlight w:val="none"/>
                <w14:textFill>
                  <w14:solidFill>
                    <w14:schemeClr w14:val="tx1"/>
                  </w14:solidFill>
                </w14:textFill>
              </w:rPr>
              <w:t>谋划推动</w:t>
            </w:r>
            <w:r>
              <w:rPr>
                <w:rFonts w:hint="eastAsia" w:ascii="Times New Roman" w:hAnsi="Times New Roman"/>
                <w:smallCaps w:val="0"/>
                <w:color w:val="000000" w:themeColor="text1"/>
                <w:sz w:val="24"/>
                <w:highlight w:val="none"/>
                <w14:textFill>
                  <w14:solidFill>
                    <w14:schemeClr w14:val="tx1"/>
                  </w14:solidFill>
                </w14:textFill>
              </w:rPr>
              <w:t>低GI食品生产加工、膳食纤维加工生产</w:t>
            </w:r>
            <w:r>
              <w:rPr>
                <w:rFonts w:hint="eastAsia" w:ascii="Times New Roman" w:hAnsi="Times New Roman"/>
                <w:smallCaps w:val="0"/>
                <w:color w:val="000000" w:themeColor="text1"/>
                <w:sz w:val="24"/>
                <w:highlight w:val="none"/>
                <w:lang w:eastAsia="zh-CN"/>
                <w14:textFill>
                  <w14:solidFill>
                    <w14:schemeClr w14:val="tx1"/>
                  </w14:solidFill>
                </w14:textFill>
              </w:rPr>
              <w:t>、</w:t>
            </w:r>
            <w:r>
              <w:rPr>
                <w:rFonts w:hint="eastAsia" w:ascii="Times New Roman" w:hAnsi="Times New Roman"/>
                <w:smallCaps w:val="0"/>
                <w:color w:val="000000" w:themeColor="text1"/>
                <w:sz w:val="24"/>
                <w:highlight w:val="none"/>
                <w14:textFill>
                  <w14:solidFill>
                    <w14:schemeClr w14:val="tx1"/>
                  </w14:solidFill>
                </w14:textFill>
              </w:rPr>
              <w:t>蛋白肽</w:t>
            </w:r>
            <w:r>
              <w:rPr>
                <w:rFonts w:hint="eastAsia" w:ascii="Times New Roman" w:hAnsi="Times New Roman"/>
                <w:smallCaps w:val="0"/>
                <w:color w:val="000000" w:themeColor="text1"/>
                <w:sz w:val="24"/>
                <w:highlight w:val="none"/>
                <w:lang w:val="en-US" w:eastAsia="zh-CN"/>
                <w14:textFill>
                  <w14:solidFill>
                    <w14:schemeClr w14:val="tx1"/>
                  </w14:solidFill>
                </w14:textFill>
              </w:rPr>
              <w:t>生产等项目建设</w:t>
            </w:r>
            <w:r>
              <w:rPr>
                <w:rFonts w:hint="eastAsia" w:ascii="Times New Roman" w:hAnsi="Times New Roman"/>
                <w:smallCaps w:val="0"/>
                <w:color w:val="000000" w:themeColor="text1"/>
                <w:sz w:val="24"/>
                <w:highlight w:val="none"/>
                <w14:textFill>
                  <w14:solidFill>
                    <w14:schemeClr w14:val="tx1"/>
                  </w14:solidFill>
                </w14:textFill>
              </w:rPr>
              <w:t>。</w:t>
            </w:r>
          </w:p>
        </w:tc>
      </w:tr>
      <w:tr w14:paraId="3669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3207" w:type="dxa"/>
            <w:vAlign w:val="center"/>
          </w:tcPr>
          <w:p w14:paraId="08C52879">
            <w:pPr>
              <w:ind w:left="0" w:leftChars="0"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highlight w:val="none"/>
                <w14:textFill>
                  <w14:solidFill>
                    <w14:schemeClr w14:val="tx1"/>
                  </w14:solidFill>
                </w14:textFill>
              </w:rPr>
              <w:t>物流产业重点项目</w:t>
            </w:r>
          </w:p>
        </w:tc>
        <w:tc>
          <w:tcPr>
            <w:tcW w:w="5854" w:type="dxa"/>
          </w:tcPr>
          <w:p w14:paraId="2304DB01">
            <w:pPr>
              <w:spacing w:line="340" w:lineRule="exact"/>
              <w:ind w:firstLine="0" w:firstLineChars="0"/>
              <w:rPr>
                <w:rFonts w:ascii="Times New Roman" w:hAnsi="Times New Roman"/>
                <w:smallCaps w:val="0"/>
                <w:color w:val="000000" w:themeColor="text1"/>
                <w:sz w:val="24"/>
                <w:highlight w:val="none"/>
                <w14:textFill>
                  <w14:solidFill>
                    <w14:schemeClr w14:val="tx1"/>
                  </w14:solidFill>
                </w14:textFill>
              </w:rPr>
            </w:pPr>
            <w:r>
              <w:rPr>
                <w:rFonts w:hint="eastAsia" w:ascii="Times New Roman" w:hAnsi="Times New Roman" w:cs="仿宋"/>
                <w:b/>
                <w:bCs/>
                <w:smallCaps w:val="0"/>
                <w:color w:val="000000" w:themeColor="text1"/>
                <w:sz w:val="24"/>
                <w:highlight w:val="none"/>
                <w14:textFill>
                  <w14:solidFill>
                    <w14:schemeClr w14:val="tx1"/>
                  </w14:solidFill>
                </w14:textFill>
              </w:rPr>
              <w:t>推动实施</w:t>
            </w:r>
            <w:r>
              <w:rPr>
                <w:rFonts w:hint="eastAsia" w:ascii="Times New Roman" w:hAnsi="Times New Roman" w:cs="仿宋"/>
                <w:smallCaps w:val="0"/>
                <w:color w:val="000000" w:themeColor="text1"/>
                <w:sz w:val="24"/>
                <w:highlight w:val="none"/>
                <w14:textFill>
                  <w14:solidFill>
                    <w14:schemeClr w14:val="tx1"/>
                  </w14:solidFill>
                </w14:textFill>
              </w:rPr>
              <w:t>国际汽车城配套物流建设、农副产品冷链仓储物流</w:t>
            </w:r>
            <w:r>
              <w:rPr>
                <w:rFonts w:hint="eastAsia" w:ascii="Times New Roman" w:hAnsi="Times New Roman" w:cs="仿宋"/>
                <w:smallCaps w:val="0"/>
                <w:color w:val="000000" w:themeColor="text1"/>
                <w:sz w:val="24"/>
                <w:highlight w:val="none"/>
                <w:lang w:eastAsia="zh-CN"/>
                <w14:textFill>
                  <w14:solidFill>
                    <w14:schemeClr w14:val="tx1"/>
                  </w14:solidFill>
                </w14:textFill>
              </w:rPr>
              <w:t>、</w:t>
            </w:r>
            <w:r>
              <w:rPr>
                <w:rFonts w:hint="eastAsia" w:ascii="Times New Roman" w:hAnsi="Times New Roman" w:cs="仿宋"/>
                <w:smallCaps w:val="0"/>
                <w:color w:val="000000" w:themeColor="text1"/>
                <w:sz w:val="24"/>
                <w:highlight w:val="none"/>
                <w14:textFill>
                  <w14:solidFill>
                    <w14:schemeClr w14:val="tx1"/>
                  </w14:solidFill>
                </w14:textFill>
              </w:rPr>
              <w:t>食品仓储物流等项目建设</w:t>
            </w:r>
            <w:r>
              <w:rPr>
                <w:rFonts w:hint="eastAsia" w:ascii="Times New Roman" w:hAnsi="Times New Roman" w:cs="仿宋"/>
                <w:smallCaps w:val="0"/>
                <w:color w:val="000000" w:themeColor="text1"/>
                <w:sz w:val="24"/>
                <w:highlight w:val="none"/>
                <w:lang w:eastAsia="zh-CN"/>
                <w14:textFill>
                  <w14:solidFill>
                    <w14:schemeClr w14:val="tx1"/>
                  </w14:solidFill>
                </w14:textFill>
              </w:rPr>
              <w:t>；</w:t>
            </w:r>
            <w:r>
              <w:rPr>
                <w:rFonts w:hint="eastAsia" w:ascii="Times New Roman" w:hAnsi="Times New Roman" w:cs="仿宋"/>
                <w:b/>
                <w:bCs/>
                <w:smallCaps w:val="0"/>
                <w:color w:val="000000" w:themeColor="text1"/>
                <w:sz w:val="24"/>
                <w:highlight w:val="none"/>
                <w14:textFill>
                  <w14:solidFill>
                    <w14:schemeClr w14:val="tx1"/>
                  </w14:solidFill>
                </w14:textFill>
              </w:rPr>
              <w:t>谋划推动</w:t>
            </w:r>
            <w:r>
              <w:rPr>
                <w:rFonts w:hint="eastAsia" w:ascii="Times New Roman" w:hAnsi="Times New Roman" w:cs="宋体"/>
                <w:smallCaps w:val="0"/>
                <w:color w:val="000000" w:themeColor="text1"/>
                <w:sz w:val="24"/>
                <w:highlight w:val="none"/>
                <w:lang w:val="en-US" w:eastAsia="zh-CN"/>
                <w14:textFill>
                  <w14:solidFill>
                    <w14:schemeClr w14:val="tx1"/>
                  </w14:solidFill>
                </w14:textFill>
              </w:rPr>
              <w:t>大型跨国冷链物流等项目建设</w:t>
            </w:r>
            <w:r>
              <w:rPr>
                <w:rFonts w:hint="eastAsia" w:ascii="Times New Roman" w:hAnsi="Times New Roman" w:cs="宋体"/>
                <w:smallCaps w:val="0"/>
                <w:color w:val="000000" w:themeColor="text1"/>
                <w:sz w:val="24"/>
                <w:highlight w:val="none"/>
                <w14:textFill>
                  <w14:solidFill>
                    <w14:schemeClr w14:val="tx1"/>
                  </w14:solidFill>
                </w14:textFill>
              </w:rPr>
              <w:t>。</w:t>
            </w:r>
          </w:p>
        </w:tc>
      </w:tr>
      <w:tr w14:paraId="1158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07" w:type="dxa"/>
            <w:vAlign w:val="center"/>
          </w:tcPr>
          <w:p w14:paraId="0821E3E5">
            <w:pPr>
              <w:ind w:left="0" w:leftChars="0"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highlight w:val="none"/>
                <w14:textFill>
                  <w14:solidFill>
                    <w14:schemeClr w14:val="tx1"/>
                  </w14:solidFill>
                </w14:textFill>
              </w:rPr>
              <w:t>现代种业产业重点项目</w:t>
            </w:r>
          </w:p>
        </w:tc>
        <w:tc>
          <w:tcPr>
            <w:tcW w:w="5854" w:type="dxa"/>
          </w:tcPr>
          <w:p w14:paraId="31767709">
            <w:pPr>
              <w:pStyle w:val="21"/>
              <w:spacing w:line="340" w:lineRule="exact"/>
              <w:ind w:firstLine="0" w:firstLineChars="0"/>
              <w:rPr>
                <w:rFonts w:hint="default" w:ascii="Times New Roman" w:hAnsi="Times New Roman"/>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ascii="Times New Roman" w:hAnsi="Times New Roman" w:eastAsia="仿宋" w:cs="仿宋"/>
                <w:smallCaps w:val="0"/>
                <w:color w:val="000000" w:themeColor="text1"/>
                <w:sz w:val="24"/>
                <w:szCs w:val="24"/>
                <w:highlight w:val="none"/>
                <w14:textFill>
                  <w14:solidFill>
                    <w14:schemeClr w14:val="tx1"/>
                  </w14:solidFill>
                </w14:textFill>
              </w:rPr>
              <w:t>中国春玉米研发中心、寒地区域育种中心</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smallCaps w:val="0"/>
                <w:color w:val="000000" w:themeColor="text1"/>
                <w:sz w:val="24"/>
                <w:szCs w:val="24"/>
                <w:highlight w:val="none"/>
                <w14:textFill>
                  <w14:solidFill>
                    <w14:schemeClr w14:val="tx1"/>
                  </w14:solidFill>
                </w14:textFill>
              </w:rPr>
              <w:t>玉米种子</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生产等</w:t>
            </w:r>
            <w:r>
              <w:rPr>
                <w:rFonts w:ascii="Times New Roman" w:hAnsi="Times New Roman" w:eastAsia="仿宋" w:cs="仿宋"/>
                <w:smallCaps w:val="0"/>
                <w:color w:val="000000" w:themeColor="text1"/>
                <w:sz w:val="24"/>
                <w:szCs w:val="24"/>
                <w:highlight w:val="none"/>
                <w14:textFill>
                  <w14:solidFill>
                    <w14:schemeClr w14:val="tx1"/>
                  </w14:solidFill>
                </w14:textFill>
              </w:rPr>
              <w:t>项目建设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ascii="Times New Roman" w:hAnsi="Times New Roman" w:eastAsia="仿宋" w:cs="仿宋"/>
                <w:smallCaps w:val="0"/>
                <w:color w:val="000000" w:themeColor="text1"/>
                <w:sz w:val="24"/>
                <w:szCs w:val="24"/>
                <w:highlight w:val="none"/>
                <w14:textFill>
                  <w14:solidFill>
                    <w14:schemeClr w14:val="tx1"/>
                  </w14:solidFill>
                </w14:textFill>
              </w:rPr>
              <w:t>种子繁育加工、现代农业东北研发生产中心、种业育繁推一体化等项目建设。</w:t>
            </w:r>
          </w:p>
        </w:tc>
      </w:tr>
      <w:tr w14:paraId="6BF4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07" w:type="dxa"/>
            <w:vAlign w:val="center"/>
          </w:tcPr>
          <w:p w14:paraId="485D430A">
            <w:pPr>
              <w:ind w:left="0" w:leftChars="0"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highlight w:val="none"/>
                <w14:textFill>
                  <w14:solidFill>
                    <w14:schemeClr w14:val="tx1"/>
                  </w14:solidFill>
                </w14:textFill>
              </w:rPr>
              <w:t>文旅产业重点项目</w:t>
            </w:r>
          </w:p>
        </w:tc>
        <w:tc>
          <w:tcPr>
            <w:tcW w:w="5854" w:type="dxa"/>
          </w:tcPr>
          <w:p w14:paraId="7DAA2CE1">
            <w:pPr>
              <w:pStyle w:val="21"/>
              <w:spacing w:line="340" w:lineRule="exact"/>
              <w:ind w:firstLine="0" w:firstLineChars="0"/>
              <w:rPr>
                <w:rFonts w:hint="default" w:ascii="Times New Roman" w:hAnsi="Times New Roman"/>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ascii="Times New Roman" w:hAnsi="Times New Roman" w:eastAsia="仿宋" w:cs="仿宋"/>
                <w:smallCaps w:val="0"/>
                <w:color w:val="000000" w:themeColor="text1"/>
                <w:sz w:val="24"/>
                <w:szCs w:val="24"/>
                <w:highlight w:val="none"/>
                <w14:textFill>
                  <w14:solidFill>
                    <w14:schemeClr w14:val="tx1"/>
                  </w14:solidFill>
                </w14:textFill>
              </w:rPr>
              <w:t>大龙山文化园、万悦大酒店、东北天龙赛鸽文化产业园</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smallCaps w:val="0"/>
                <w:color w:val="000000" w:themeColor="text1"/>
                <w:sz w:val="24"/>
                <w:szCs w:val="24"/>
                <w:highlight w:val="none"/>
                <w14:textFill>
                  <w14:solidFill>
                    <w14:schemeClr w14:val="tx1"/>
                  </w14:solidFill>
                </w14:textFill>
              </w:rPr>
              <w:t>怀德稻香渔歌田园综合体等项目建设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ascii="Times New Roman" w:hAnsi="Times New Roman" w:eastAsia="仿宋" w:cs="仿宋"/>
                <w:smallCaps w:val="0"/>
                <w:color w:val="000000" w:themeColor="text1"/>
                <w:sz w:val="24"/>
                <w:szCs w:val="24"/>
                <w:highlight w:val="none"/>
                <w14:textFill>
                  <w14:solidFill>
                    <w14:schemeClr w14:val="tx1"/>
                  </w14:solidFill>
                </w14:textFill>
              </w:rPr>
              <w:t>范家屯镇温泉</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等项目</w:t>
            </w:r>
            <w:r>
              <w:rPr>
                <w:rFonts w:ascii="Times New Roman" w:hAnsi="Times New Roman" w:eastAsia="仿宋" w:cs="仿宋"/>
                <w:smallCaps w:val="0"/>
                <w:color w:val="000000" w:themeColor="text1"/>
                <w:sz w:val="24"/>
                <w:szCs w:val="24"/>
                <w:highlight w:val="none"/>
                <w14:textFill>
                  <w14:solidFill>
                    <w14:schemeClr w14:val="tx1"/>
                  </w14:solidFill>
                </w14:textFill>
              </w:rPr>
              <w:t>建设。</w:t>
            </w:r>
          </w:p>
        </w:tc>
      </w:tr>
      <w:tr w14:paraId="7C18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07" w:type="dxa"/>
            <w:vAlign w:val="center"/>
          </w:tcPr>
          <w:p w14:paraId="684327B6">
            <w:pPr>
              <w:ind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highlight w:val="none"/>
                <w14:textFill>
                  <w14:solidFill>
                    <w14:schemeClr w14:val="tx1"/>
                  </w14:solidFill>
                </w14:textFill>
              </w:rPr>
              <w:t>现代农业服务业重点项目</w:t>
            </w:r>
          </w:p>
        </w:tc>
        <w:tc>
          <w:tcPr>
            <w:tcW w:w="5854" w:type="dxa"/>
          </w:tcPr>
          <w:p w14:paraId="58919800">
            <w:pPr>
              <w:pStyle w:val="21"/>
              <w:spacing w:line="340" w:lineRule="exact"/>
              <w:ind w:firstLine="0" w:firstLineChars="0"/>
              <w:rPr>
                <w:rFonts w:hint="default" w:ascii="Times New Roman" w:hAnsi="Times New Roman"/>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ascii="Times New Roman" w:hAnsi="Times New Roman" w:eastAsia="仿宋" w:cs="仿宋"/>
                <w:smallCaps w:val="0"/>
                <w:color w:val="000000" w:themeColor="text1"/>
                <w:sz w:val="24"/>
                <w:szCs w:val="24"/>
                <w:highlight w:val="none"/>
                <w14:textFill>
                  <w14:solidFill>
                    <w14:schemeClr w14:val="tx1"/>
                  </w14:solidFill>
                </w14:textFill>
              </w:rPr>
              <w:t>大型生境模拟试验设施</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smallCaps w:val="0"/>
                <w:color w:val="000000" w:themeColor="text1"/>
                <w:sz w:val="24"/>
                <w:szCs w:val="24"/>
                <w:highlight w:val="none"/>
                <w14:textFill>
                  <w14:solidFill>
                    <w14:schemeClr w14:val="tx1"/>
                  </w14:solidFill>
                </w14:textFill>
              </w:rPr>
              <w:t>农副产品电商平台</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等</w:t>
            </w:r>
            <w:r>
              <w:rPr>
                <w:rFonts w:ascii="Times New Roman" w:hAnsi="Times New Roman" w:eastAsia="仿宋" w:cs="仿宋"/>
                <w:smallCaps w:val="0"/>
                <w:color w:val="000000" w:themeColor="text1"/>
                <w:sz w:val="24"/>
                <w:szCs w:val="24"/>
                <w:highlight w:val="none"/>
                <w14:textFill>
                  <w14:solidFill>
                    <w14:schemeClr w14:val="tx1"/>
                  </w14:solidFill>
                </w14:textFill>
              </w:rPr>
              <w:t>项目</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ascii="Times New Roman" w:hAnsi="Times New Roman" w:eastAsia="仿宋" w:cs="仿宋"/>
                <w:smallCaps w:val="0"/>
                <w:color w:val="000000" w:themeColor="text1"/>
                <w:sz w:val="24"/>
                <w:szCs w:val="24"/>
                <w:highlight w:val="none"/>
                <w14:textFill>
                  <w14:solidFill>
                    <w14:schemeClr w14:val="tx1"/>
                  </w14:solidFill>
                </w14:textFill>
              </w:rPr>
              <w:t>激光农业基地、智慧农业全链生态服务平台、遥望科技电商直播平台等项目建设。</w:t>
            </w:r>
          </w:p>
        </w:tc>
      </w:tr>
      <w:tr w14:paraId="01C5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07" w:type="dxa"/>
            <w:vAlign w:val="center"/>
          </w:tcPr>
          <w:p w14:paraId="536ECC2A">
            <w:pPr>
              <w:pStyle w:val="12"/>
              <w:snapToGrid w:val="0"/>
              <w:spacing w:line="340" w:lineRule="exact"/>
              <w:ind w:firstLine="0" w:firstLineChars="0"/>
              <w:jc w:val="center"/>
              <w:rPr>
                <w:rFonts w:ascii="Times New Roman" w:hAnsi="Times New Roman" w:eastAsia="黑体" w:cs="黑体"/>
                <w:smallCaps w:val="0"/>
                <w:color w:val="000000" w:themeColor="text1"/>
                <w:sz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产业新兴增长点重点项目</w:t>
            </w:r>
          </w:p>
        </w:tc>
        <w:tc>
          <w:tcPr>
            <w:tcW w:w="5854" w:type="dxa"/>
          </w:tcPr>
          <w:p w14:paraId="10325D75">
            <w:pPr>
              <w:pStyle w:val="12"/>
              <w:spacing w:line="340" w:lineRule="exact"/>
              <w:ind w:firstLine="0" w:firstLineChars="0"/>
              <w:rPr>
                <w:rFonts w:hint="eastAsia" w:ascii="Times New Roman" w:hAnsi="Times New Roman" w:eastAsia="仿宋"/>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增量配电网、船用LNG玻璃棉生产、连续玄武岩纤维人防门扩建</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秸秆生物基降解材料及制品</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等项目建设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eastAsia="仿宋" w:cs="仿宋"/>
                <w:smallCaps w:val="0"/>
                <w:color w:val="000000" w:themeColor="text1"/>
                <w:kern w:val="2"/>
                <w:sz w:val="24"/>
                <w:szCs w:val="24"/>
                <w:highlight w:val="none"/>
                <w:lang w:val="en-US" w:eastAsia="zh-CN" w:bidi="ar-SA"/>
                <w14:textFill>
                  <w14:solidFill>
                    <w14:schemeClr w14:val="tx1"/>
                  </w14:solidFill>
                </w14:textFill>
              </w:rPr>
              <w:t>压缩空气储能、低空飞行</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器</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部件</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生产及检验检测、可降解塑料包装制造产业园</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p>
        </w:tc>
      </w:tr>
    </w:tbl>
    <w:p w14:paraId="6BE5479A">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119" w:name="_Toc24895"/>
    </w:p>
    <w:p w14:paraId="2F5D7CE4">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smallCaps w:val="0"/>
          <w:color w:val="000000" w:themeColor="text1"/>
          <w:highlight w:val="none"/>
          <w14:textFill>
            <w14:solidFill>
              <w14:schemeClr w14:val="tx1"/>
            </w14:solidFill>
          </w14:textFill>
        </w:rPr>
      </w:pPr>
      <w:bookmarkStart w:id="120" w:name="_Toc24576"/>
      <w:r>
        <w:rPr>
          <w:rFonts w:hint="eastAsia" w:ascii="Times New Roman" w:hAnsi="Times New Roman"/>
          <w:smallCaps w:val="0"/>
          <w:color w:val="000000" w:themeColor="text1"/>
          <w:highlight w:val="none"/>
          <w14:textFill>
            <w14:solidFill>
              <w14:schemeClr w14:val="tx1"/>
            </w14:solidFill>
          </w14:textFill>
        </w:rPr>
        <w:t>第四章 建设长春国家农高区，引领乡村全面振兴</w:t>
      </w:r>
      <w:bookmarkEnd w:id="117"/>
      <w:bookmarkEnd w:id="118"/>
      <w:bookmarkEnd w:id="119"/>
      <w:bookmarkEnd w:id="120"/>
    </w:p>
    <w:p w14:paraId="59CC6207">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highlight w:val="none"/>
          <w14:textFill>
            <w14:solidFill>
              <w14:schemeClr w14:val="tx1"/>
            </w14:solidFill>
          </w14:textFill>
        </w:rPr>
      </w:pPr>
    </w:p>
    <w:p w14:paraId="5793332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发挥长春国家农高区引领作用，统筹发展科技农业、绿色农业、质量农业、品牌农业，</w:t>
      </w:r>
      <w:r>
        <w:rPr>
          <w:rFonts w:hint="eastAsia" w:ascii="Times New Roman" w:hAnsi="Times New Roman" w:cs="仿宋"/>
          <w:smallCaps w:val="0"/>
          <w:color w:val="000000" w:themeColor="text1"/>
          <w:highlight w:val="none"/>
          <w:lang w:eastAsia="zh-CN"/>
          <w14:textFill>
            <w14:solidFill>
              <w14:schemeClr w14:val="tx1"/>
            </w14:solidFill>
          </w14:textFill>
        </w:rPr>
        <w:t>统筹</w:t>
      </w:r>
      <w:r>
        <w:rPr>
          <w:rFonts w:hint="eastAsia" w:ascii="Times New Roman" w:hAnsi="Times New Roman" w:cs="仿宋"/>
          <w:smallCaps w:val="0"/>
          <w:color w:val="000000" w:themeColor="text1"/>
          <w:highlight w:val="none"/>
          <w14:textFill>
            <w14:solidFill>
              <w14:schemeClr w14:val="tx1"/>
            </w14:solidFill>
          </w14:textFill>
        </w:rPr>
        <w:t>实施粮食安全工程和乡村面貌大变样工程，到2030年，基本建成农业强、农村美、农民富的现代化大农业示范区。</w:t>
      </w:r>
    </w:p>
    <w:p w14:paraId="612F45C5">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eastAsia" w:ascii="Times New Roman" w:hAnsi="Times New Roman"/>
          <w:smallCaps w:val="0"/>
          <w:color w:val="000000" w:themeColor="text1"/>
          <w:highlight w:val="none"/>
          <w14:textFill>
            <w14:solidFill>
              <w14:schemeClr w14:val="tx1"/>
            </w14:solidFill>
          </w14:textFill>
        </w:rPr>
      </w:pPr>
      <w:bookmarkStart w:id="121" w:name="_Toc31317"/>
      <w:bookmarkStart w:id="122" w:name="_Toc1812"/>
      <w:bookmarkStart w:id="123" w:name="_Toc6878"/>
      <w:bookmarkStart w:id="124" w:name="_Toc4144"/>
      <w:bookmarkStart w:id="125" w:name="_Toc27628"/>
      <w:r>
        <w:rPr>
          <w:rFonts w:hint="eastAsia" w:ascii="Times New Roman" w:hAnsi="Times New Roman"/>
          <w:smallCaps w:val="0"/>
          <w:color w:val="000000" w:themeColor="text1"/>
          <w:highlight w:val="none"/>
          <w:lang w:val="en-US" w:eastAsia="zh-CN"/>
          <w14:textFill>
            <w14:solidFill>
              <w14:schemeClr w14:val="tx1"/>
            </w14:solidFill>
          </w14:textFill>
        </w:rPr>
        <w:t xml:space="preserve">第一节 </w:t>
      </w:r>
      <w:r>
        <w:rPr>
          <w:rFonts w:hint="eastAsia" w:ascii="Times New Roman" w:hAnsi="Times New Roman"/>
          <w:smallCaps w:val="0"/>
          <w:color w:val="000000" w:themeColor="text1"/>
          <w:highlight w:val="none"/>
          <w14:textFill>
            <w14:solidFill>
              <w14:schemeClr w14:val="tx1"/>
            </w14:solidFill>
          </w14:textFill>
        </w:rPr>
        <w:t>聚力建设长春国家农高区</w:t>
      </w:r>
      <w:bookmarkEnd w:id="121"/>
      <w:bookmarkEnd w:id="122"/>
      <w:bookmarkEnd w:id="123"/>
      <w:bookmarkEnd w:id="124"/>
      <w:bookmarkEnd w:id="125"/>
    </w:p>
    <w:p w14:paraId="38F67B62">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cs="仿宋"/>
          <w:smallCaps w:val="0"/>
          <w:color w:val="000000" w:themeColor="text1"/>
          <w:highlight w:val="none"/>
          <w:lang w:eastAsia="zh-CN"/>
          <w14:textFill>
            <w14:solidFill>
              <w14:schemeClr w14:val="tx1"/>
            </w14:solidFill>
          </w14:textFill>
        </w:rPr>
      </w:pPr>
      <w:r>
        <w:rPr>
          <w:rFonts w:hint="eastAsia" w:ascii="Times New Roman" w:hAnsi="Times New Roman" w:cs="仿宋"/>
          <w:smallCaps w:val="0"/>
          <w:color w:val="000000" w:themeColor="text1"/>
          <w:highlight w:val="none"/>
          <w:lang w:val="en-US" w:eastAsia="zh-CN"/>
          <w14:textFill>
            <w14:solidFill>
              <w14:schemeClr w14:val="tx1"/>
            </w14:solidFill>
          </w14:textFill>
        </w:rPr>
        <w:t>全力构建现代化大农业产业体系，着力打造“三区三高地五集群”。到2030年，初步建成玉米全产业链高质量发展的东北地区现代化大农业领航区。</w:t>
      </w:r>
    </w:p>
    <w:p w14:paraId="656361A6">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b w:val="0"/>
          <w:bCs w:val="0"/>
          <w:smallCaps w:val="0"/>
          <w:color w:val="000000" w:themeColor="text1"/>
          <w:highlight w:val="none"/>
          <w:lang w:eastAsia="zh-CN"/>
          <w14:textFill>
            <w14:solidFill>
              <w14:schemeClr w14:val="tx1"/>
            </w14:solidFill>
          </w14:textFill>
        </w:rPr>
      </w:pPr>
      <w:r>
        <w:rPr>
          <w:rFonts w:hint="eastAsia" w:ascii="Times New Roman" w:hAnsi="Times New Roman" w:cs="仿宋"/>
          <w:b/>
          <w:bCs/>
          <w:smallCaps w:val="0"/>
          <w:color w:val="000000" w:themeColor="text1"/>
          <w:highlight w:val="none"/>
          <w:lang w:eastAsia="zh-CN"/>
          <w14:textFill>
            <w14:solidFill>
              <w14:schemeClr w14:val="tx1"/>
            </w14:solidFill>
          </w14:textFill>
        </w:rPr>
        <w:t>推动玉米产业关键技术集成创新。</w:t>
      </w:r>
      <w:r>
        <w:rPr>
          <w:rFonts w:hint="eastAsia" w:ascii="Times New Roman" w:hAnsi="Times New Roman" w:cs="仿宋"/>
          <w:b w:val="0"/>
          <w:bCs w:val="0"/>
          <w:smallCaps w:val="0"/>
          <w:color w:val="000000" w:themeColor="text1"/>
          <w:highlight w:val="none"/>
          <w:lang w:eastAsia="zh-CN"/>
          <w14:textFill>
            <w14:solidFill>
              <w14:schemeClr w14:val="tx1"/>
            </w14:solidFill>
          </w14:textFill>
        </w:rPr>
        <w:t>推进玉米优质品种研发，依托现代生物育种技术和农高区种质资源，开展玉米新品种选育和种质创新，强化高产、抗逆和优质品种的研发与推广，提升玉米种业自主创新水平，打造中国北方玉米种业“硅谷”；创新玉米高效种植模式，整合绿色高效种植技术、精准施肥和智能管理系统，推广节水、节肥、低碳的可持续种植模式，提高单产和资源利用效率，建设玉米绿色高效发展的先导区；突破精深加工关键技术，开展玉米深加工及精深加工技术攻关，推动玉米高端食品、健康保健品、化妆品、饲料及生物医药辅料和新材料等玉米未来食品的开发应用，延伸玉米产业链、提升价值链、打造创新链，全面增强玉米产品附加值与市场竞争力。</w:t>
      </w:r>
    </w:p>
    <w:p w14:paraId="6B0348BC">
      <w:pPr>
        <w:pStyle w:val="4"/>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sz w:val="32"/>
          <w:szCs w:val="32"/>
          <w:highlight w:val="none"/>
          <w:lang w:eastAsia="zh-CN"/>
          <w14:textFill>
            <w14:solidFill>
              <w14:schemeClr w14:val="tx1"/>
            </w14:solidFill>
          </w14:textFill>
        </w:rPr>
      </w:pPr>
      <w:r>
        <w:rPr>
          <w:rFonts w:hint="eastAsia" w:ascii="Times New Roman" w:hAnsi="Times New Roman" w:cs="仿宋"/>
          <w:b/>
          <w:bCs/>
          <w:smallCaps w:val="0"/>
          <w:color w:val="000000" w:themeColor="text1"/>
          <w:sz w:val="32"/>
          <w:szCs w:val="32"/>
          <w:highlight w:val="none"/>
          <w:lang w:eastAsia="zh-CN"/>
          <w14:textFill>
            <w14:solidFill>
              <w14:schemeClr w14:val="tx1"/>
            </w14:solidFill>
          </w14:textFill>
        </w:rPr>
        <w:t>健全成果转化机制。</w:t>
      </w:r>
      <w:r>
        <w:rPr>
          <w:rFonts w:hint="eastAsia" w:ascii="Times New Roman" w:hAnsi="Times New Roman" w:cs="仿宋"/>
          <w:b w:val="0"/>
          <w:bCs w:val="0"/>
          <w:smallCaps w:val="0"/>
          <w:color w:val="000000" w:themeColor="text1"/>
          <w:sz w:val="32"/>
          <w:szCs w:val="32"/>
          <w:highlight w:val="none"/>
          <w:lang w:eastAsia="zh-CN"/>
          <w14:textFill>
            <w14:solidFill>
              <w14:schemeClr w14:val="tx1"/>
            </w14:solidFill>
          </w14:textFill>
        </w:rPr>
        <w:t>依托玉米全产业链和现代化大农业优势，建设一批高水平的生物育种研发中心、良种测试评价中心、成果转化中心及试验示范基地等科技创新平台，推进专业技术经理人才队伍建设，建立健全产学研用协同创新机制，推动玉米新品种、智能农机新装备和绿色高效新技术加快转化应用。</w:t>
      </w:r>
    </w:p>
    <w:p w14:paraId="7E760F76">
      <w:pPr>
        <w:pStyle w:val="4"/>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sz w:val="32"/>
          <w:szCs w:val="32"/>
          <w:highlight w:val="none"/>
          <w:lang w:eastAsia="zh-CN"/>
          <w14:textFill>
            <w14:solidFill>
              <w14:schemeClr w14:val="tx1"/>
            </w14:solidFill>
          </w14:textFill>
        </w:rPr>
      </w:pPr>
      <w:r>
        <w:rPr>
          <w:rFonts w:hint="eastAsia" w:ascii="Times New Roman" w:hAnsi="Times New Roman"/>
          <w:b/>
          <w:bCs/>
          <w:smallCaps w:val="0"/>
          <w:color w:val="000000" w:themeColor="text1"/>
          <w:sz w:val="32"/>
          <w:szCs w:val="32"/>
          <w:highlight w:val="none"/>
          <w:lang w:eastAsia="zh-CN"/>
          <w14:textFill>
            <w14:solidFill>
              <w14:schemeClr w14:val="tx1"/>
            </w14:solidFill>
          </w14:textFill>
        </w:rPr>
        <w:t>梯度培育创新主体。</w:t>
      </w:r>
      <w:r>
        <w:rPr>
          <w:rFonts w:hint="eastAsia" w:ascii="Times New Roman" w:hAnsi="Times New Roman"/>
          <w:smallCaps w:val="0"/>
          <w:color w:val="000000" w:themeColor="text1"/>
          <w:sz w:val="32"/>
          <w:szCs w:val="32"/>
          <w:highlight w:val="none"/>
          <w:lang w:eastAsia="zh-CN"/>
          <w14:textFill>
            <w14:solidFill>
              <w14:schemeClr w14:val="tx1"/>
            </w14:solidFill>
          </w14:textFill>
        </w:rPr>
        <w:t>建立“龙头引领—成长支撑—潜力储备”梯次培育机制，围绕生物育种、绿色高效种植、精深加工、智能农机装备和现代农业服务等重点领域，引育壮大一批农业高新技术企业，扶持发展一批科技领军企业，系统培育一批省部级以上产业化龙头企业，打造具有区域引领力和示范效应的农业科技企业集群。</w:t>
      </w:r>
    </w:p>
    <w:p w14:paraId="0CFACDAC">
      <w:pPr>
        <w:pStyle w:val="4"/>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sz w:val="32"/>
          <w:szCs w:val="32"/>
          <w:highlight w:val="none"/>
          <w14:textFill>
            <w14:solidFill>
              <w14:schemeClr w14:val="tx1"/>
            </w14:solidFill>
          </w14:textFill>
        </w:rPr>
      </w:pPr>
      <w:r>
        <w:rPr>
          <w:rFonts w:hint="eastAsia" w:ascii="Times New Roman" w:hAnsi="Times New Roman"/>
          <w:b/>
          <w:bCs/>
          <w:smallCaps w:val="0"/>
          <w:color w:val="000000" w:themeColor="text1"/>
          <w:sz w:val="32"/>
          <w:szCs w:val="32"/>
          <w:highlight w:val="none"/>
          <w14:textFill>
            <w14:solidFill>
              <w14:schemeClr w14:val="tx1"/>
            </w14:solidFill>
          </w14:textFill>
        </w:rPr>
        <w:t>构建现代农业产业体系</w:t>
      </w:r>
      <w:r>
        <w:rPr>
          <w:rFonts w:hint="eastAsia" w:ascii="Times New Roman" w:hAnsi="Times New Roman"/>
          <w:b/>
          <w:bCs/>
          <w:smallCaps w:val="0"/>
          <w:color w:val="000000" w:themeColor="text1"/>
          <w:sz w:val="32"/>
          <w:szCs w:val="32"/>
          <w:highlight w:val="none"/>
          <w:lang w:eastAsia="zh-CN"/>
          <w14:textFill>
            <w14:solidFill>
              <w14:schemeClr w14:val="tx1"/>
            </w14:solidFill>
          </w14:textFill>
        </w:rPr>
        <w:t>。</w:t>
      </w:r>
      <w:r>
        <w:rPr>
          <w:rFonts w:hint="eastAsia" w:ascii="Times New Roman" w:hAnsi="Times New Roman"/>
          <w:smallCaps w:val="0"/>
          <w:color w:val="000000" w:themeColor="text1"/>
          <w:sz w:val="32"/>
          <w:szCs w:val="32"/>
          <w:highlight w:val="none"/>
          <w14:textFill>
            <w14:solidFill>
              <w14:schemeClr w14:val="tx1"/>
            </w14:solidFill>
          </w14:textFill>
        </w:rPr>
        <w:t>统筹科技创新与产业发展资源，以省级以上产业化龙头企业为核心，推动玉米种植、精深加工等传统产业向集约化、智能化、高端化方向转型升级；以</w:t>
      </w:r>
      <w:r>
        <w:rPr>
          <w:rFonts w:hint="eastAsia" w:ascii="Times New Roman" w:hAnsi="Times New Roman"/>
          <w:smallCaps w:val="0"/>
          <w:color w:val="000000" w:themeColor="text1"/>
          <w:sz w:val="32"/>
          <w:szCs w:val="32"/>
          <w:highlight w:val="none"/>
          <w:lang w:eastAsia="zh-CN"/>
          <w14:textFill>
            <w14:solidFill>
              <w14:schemeClr w14:val="tx1"/>
            </w14:solidFill>
          </w14:textFill>
        </w:rPr>
        <w:t>科技领军企业</w:t>
      </w:r>
      <w:r>
        <w:rPr>
          <w:rFonts w:hint="eastAsia" w:ascii="Times New Roman" w:hAnsi="Times New Roman"/>
          <w:smallCaps w:val="0"/>
          <w:color w:val="000000" w:themeColor="text1"/>
          <w:sz w:val="32"/>
          <w:szCs w:val="32"/>
          <w:highlight w:val="none"/>
          <w14:textFill>
            <w14:solidFill>
              <w14:schemeClr w14:val="tx1"/>
            </w14:solidFill>
          </w14:textFill>
        </w:rPr>
        <w:t>为核心，加大对生物育种、智能农机装备、玉米新型食品等农业新兴产业的培育和支持；以农业高新技术产业为核心超前谋划布局玉米未来食品、农业机器人等农业未来产业，打造以玉米为核心的产业集群，构建东北地区现代化大农业产业体系。</w:t>
      </w:r>
    </w:p>
    <w:p w14:paraId="513486EE">
      <w:pPr>
        <w:pStyle w:val="5"/>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Times New Roman" w:hAnsi="Times New Roman" w:eastAsia="仿宋" w:cs="Times New Roman"/>
          <w:b w:val="0"/>
          <w:bCs w:val="0"/>
          <w:smallCap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 w:cs="Times New Roman"/>
          <w:b/>
          <w:bCs/>
          <w:smallCaps w:val="0"/>
          <w:color w:val="000000" w:themeColor="text1"/>
          <w:kern w:val="2"/>
          <w:sz w:val="32"/>
          <w:szCs w:val="32"/>
          <w:highlight w:val="none"/>
          <w:lang w:val="en-US" w:eastAsia="zh-CN" w:bidi="ar-SA"/>
          <w14:textFill>
            <w14:solidFill>
              <w14:schemeClr w14:val="tx1"/>
            </w14:solidFill>
          </w14:textFill>
        </w:rPr>
        <w:t>培育高质量发展新动能。</w:t>
      </w:r>
      <w:r>
        <w:rPr>
          <w:rFonts w:hint="eastAsia" w:ascii="Times New Roman" w:hAnsi="Times New Roman" w:eastAsia="仿宋" w:cs="Times New Roman"/>
          <w:b w:val="0"/>
          <w:bCs w:val="0"/>
          <w:smallCaps w:val="0"/>
          <w:color w:val="000000" w:themeColor="text1"/>
          <w:kern w:val="2"/>
          <w:sz w:val="32"/>
          <w:szCs w:val="32"/>
          <w:highlight w:val="none"/>
          <w:lang w:val="en-US" w:eastAsia="zh-CN" w:bidi="ar-SA"/>
          <w14:textFill>
            <w14:solidFill>
              <w14:schemeClr w14:val="tx1"/>
            </w14:solidFill>
          </w14:textFill>
        </w:rPr>
        <w:t>立足高水平对外开放，共同搭建研发中心、技术转移中心等科研平台，积极拓展国际科技合作，提升国际影响力；立足绿色低碳发展，推动玉米生产由传统资源消耗型向绿色循环低碳型转变，保护黑土地资源，保障绿色农产品稳定供给；立足城乡融合发展，完善农高区城乡融合发展体制机制和政策体系，促进城乡要素双向流动与高效配置。</w:t>
      </w:r>
    </w:p>
    <w:p w14:paraId="5AE59DC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b/>
          <w:bCs/>
          <w:smallCaps w:val="0"/>
          <w:color w:val="000000" w:themeColor="text1"/>
          <w:highlight w:val="none"/>
          <w:lang w:val="en-US" w:eastAsia="zh-CN"/>
          <w14:textFill>
            <w14:solidFill>
              <w14:schemeClr w14:val="tx1"/>
            </w14:solidFill>
          </w14:textFill>
        </w:rPr>
        <w:t>强化引领示范。</w:t>
      </w:r>
      <w:r>
        <w:rPr>
          <w:rFonts w:hint="eastAsia" w:ascii="Times New Roman" w:hAnsi="Times New Roman"/>
          <w:smallCaps w:val="0"/>
          <w:color w:val="000000" w:themeColor="text1"/>
          <w:highlight w:val="none"/>
          <w:lang w:val="en-US" w:eastAsia="zh-CN"/>
          <w14:textFill>
            <w14:solidFill>
              <w14:schemeClr w14:val="tx1"/>
            </w14:solidFill>
          </w14:textFill>
        </w:rPr>
        <w:t>构建全方位、多层次、宽领域的科技辐射带动机制，完善新型农技推广服务网络，完善现代农业服务体系，实现科技成果快速下沉，打造科技创新驱动的乡村振兴样板区。整合院校、企业、社会各方资源，创新培训机制，构建多层次、多渠道、多形式的农民技能培训体系，同时创新优化利益联结机制，积极发展订单农业、托管农业、品牌农业，建立科技成果共享、产销对接和收益分配，建设东北地区农业农村现代化先行区。</w:t>
      </w:r>
    </w:p>
    <w:tbl>
      <w:tblPr>
        <w:tblStyle w:val="18"/>
        <w:tblpPr w:leftFromText="180" w:rightFromText="180"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CCE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Borders>
              <w:top w:val="single" w:color="auto" w:sz="4" w:space="0"/>
              <w:left w:val="single" w:color="auto" w:sz="4" w:space="0"/>
              <w:bottom w:val="single" w:color="auto" w:sz="4" w:space="0"/>
              <w:right w:val="single" w:color="auto" w:sz="4" w:space="0"/>
            </w:tcBorders>
            <w:vAlign w:val="center"/>
          </w:tcPr>
          <w:p w14:paraId="7209806D">
            <w:pPr>
              <w:pStyle w:val="12"/>
              <w:snapToGrid w:val="0"/>
              <w:spacing w:line="340" w:lineRule="exact"/>
              <w:ind w:firstLine="0" w:firstLineChars="0"/>
              <w:jc w:val="center"/>
              <w:rPr>
                <w:rFonts w:hint="eastAsia" w:ascii="Times New Roman" w:hAnsi="Times New Roman" w:eastAsia="黑体" w:cs="黑体"/>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3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农高区建设重点</w:t>
            </w:r>
            <w:r>
              <w:rPr>
                <w:rFonts w:hint="eastAsia" w:ascii="Times New Roman" w:hAnsi="Times New Roman" w:eastAsia="黑体" w:cs="黑体"/>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项目</w:t>
            </w:r>
            <w:r>
              <w:rPr>
                <w:rFonts w:hint="eastAsia" w:ascii="Times New Roman" w:hAnsi="Times New Roman" w:eastAsia="黑体" w:cs="黑体"/>
                <w:smallCaps w:val="0"/>
                <w:color w:val="000000" w:themeColor="text1"/>
                <w:sz w:val="24"/>
                <w:szCs w:val="24"/>
                <w:highlight w:val="none"/>
                <w:lang w:eastAsia="zh-CN"/>
                <w14:textFill>
                  <w14:solidFill>
                    <w14:schemeClr w14:val="tx1"/>
                  </w14:solidFill>
                </w14:textFill>
              </w:rPr>
              <w:t>）</w:t>
            </w:r>
          </w:p>
          <w:p w14:paraId="123B1FE8">
            <w:pPr>
              <w:pStyle w:val="21"/>
              <w:spacing w:line="340" w:lineRule="exact"/>
              <w:ind w:firstLine="0" w:firstLineChars="0"/>
              <w:rPr>
                <w:rFonts w:hint="default" w:ascii="Times New Roman" w:hAnsi="Times New Roman"/>
                <w:b/>
                <w:bCs/>
                <w:smallCaps w:val="0"/>
                <w:color w:val="000000" w:themeColor="text1"/>
                <w:sz w:val="22"/>
                <w:szCs w:val="22"/>
                <w:highlight w:val="none"/>
                <w14:textFill>
                  <w14:solidFill>
                    <w14:schemeClr w14:val="tx1"/>
                  </w14:solidFill>
                </w14:textFill>
              </w:rPr>
            </w:pPr>
          </w:p>
          <w:p w14:paraId="2DF09301">
            <w:pPr>
              <w:pStyle w:val="21"/>
              <w:spacing w:line="340" w:lineRule="exact"/>
              <w:ind w:firstLine="482"/>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“种业攻坚”</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聚焦玉米生物育种、智能农机装备、黑土地保护等关键领域，开展前沿技术攻关和系统集成创新。重点突破基因编辑、全基因组选择、精准作业装备、耕地质量提升等核心技术，研发具有自主知识产权的新品种、新装备、新技术，建设高水平研发平台和创新载体，提升农业科技创新策源能力，为玉米产业发展提供核心技术支持。</w:t>
            </w:r>
          </w:p>
          <w:p w14:paraId="4CB5B676">
            <w:pPr>
              <w:pStyle w:val="21"/>
              <w:spacing w:line="340" w:lineRule="exact"/>
              <w:ind w:firstLine="482"/>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“转化加速”</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构建从实验室到市场的完整转化链条，建设成果验证、中试熟化、示范推广等多层次转化平台。完善技术转移服务和知识产权保护体系，培育专业化技术经理人队伍，推动科技创新成果快速产业化。加强产学研用深度融合，建立市场化导向的成果转化机制，提升科技创新对产业发展的支撑能力。</w:t>
            </w:r>
          </w:p>
          <w:p w14:paraId="598A79A4">
            <w:pPr>
              <w:pStyle w:val="21"/>
              <w:spacing w:line="340" w:lineRule="exact"/>
              <w:ind w:firstLine="482"/>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“主体培优”</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构建玉米科技企业梯次培育体系建立农业科技企业梯次培育机制，分层分类发展壮大一批创新能力和综合实力突出的龙头型农业科技领军企业，培育扶持一批创新活力和竞争优势强的高速成长型农业科技领军企业，孵化储备一批聚焦细分领域的潜力型农业科技企业。引导企业深度参与重大科技创新决策，牵头组织开展联合攻关，加速推动科技成果产业化，强化科技企业精准服务，推动科技资源向企业开放共享。</w:t>
            </w:r>
          </w:p>
          <w:p w14:paraId="01190F2E">
            <w:pPr>
              <w:pStyle w:val="21"/>
              <w:spacing w:line="340" w:lineRule="exact"/>
              <w:ind w:firstLine="482"/>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创新支撑体系</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加快高水平创新平台建设，加强与国内外知名涉农高校、院所和企业共建国家级实验室、技术创新中心等高能级科技创新平台。建设专业化人才队伍，完善人才引进和培育机制，集聚一批国内外高层次人才和高水平创新团队。强化科技金融服务，健全科技金融服务体系，引导金融机构开发特色产品和服务模式，为农高区建设提供多元化金融支撑。</w:t>
            </w:r>
          </w:p>
          <w:p w14:paraId="1C91F6AC">
            <w:pPr>
              <w:pStyle w:val="21"/>
              <w:spacing w:line="340" w:lineRule="exact"/>
              <w:ind w:firstLine="482"/>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集群跃升”</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提升传统玉米种植和初加工产业，推动生产环节智能化、绿色化升级。培育壮大玉米精深加工、生物制造、功能食品等新兴产业，延伸产业链条。布局玉米生物基材料、合成生物学等未来产业，推进多技术交叉融合与创新应用，构建现代化玉米产业体系。</w:t>
            </w:r>
          </w:p>
          <w:p w14:paraId="33E36FAA">
            <w:pPr>
              <w:pStyle w:val="21"/>
              <w:spacing w:line="340" w:lineRule="exact"/>
              <w:ind w:firstLine="482"/>
              <w:rPr>
                <w:rFonts w:ascii="Times New Roman" w:hAnsi="Times New Roman" w:eastAsia="仿宋" w:cs="仿宋"/>
                <w:b/>
                <w:bCs/>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“转型示范”</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推动绿色低碳转型，大力发展生态循环农业，建立农业资源高效利用体系，推进农业废弃物资源化利用。加快高水平对外开放，积极开展国际农业科技合作，建设高水平国际合作平台，提升国际影响力。促进协同融合发展，完善城乡融合机制，推动农村一二三产业深度融合，建立健全产业带动发展新机制。</w:t>
            </w:r>
          </w:p>
          <w:p w14:paraId="7E49C47D">
            <w:pPr>
              <w:pStyle w:val="21"/>
              <w:spacing w:line="340" w:lineRule="exact"/>
              <w:ind w:firstLine="482"/>
              <w:rPr>
                <w:rFonts w:ascii="Times New Roman" w:hAnsi="Times New Roman" w:eastAsia="仿宋" w:cs="仿宋"/>
                <w:b w:val="0"/>
                <w:bCs w:val="0"/>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“引领示范”工程。</w:t>
            </w:r>
            <w:r>
              <w:rPr>
                <w:rFonts w:hint="eastAsia" w:ascii="Times New Roman" w:hAnsi="Times New Roman" w:eastAsia="仿宋" w:cs="仿宋"/>
                <w:b w:val="0"/>
                <w:bCs w:val="0"/>
                <w:smallCaps w:val="0"/>
                <w:color w:val="000000" w:themeColor="text1"/>
                <w:sz w:val="24"/>
                <w:szCs w:val="24"/>
                <w:highlight w:val="none"/>
                <w14:textFill>
                  <w14:solidFill>
                    <w14:schemeClr w14:val="tx1"/>
                  </w14:solidFill>
                </w14:textFill>
              </w:rPr>
              <w:t>健全农业科技推广服务体系，创新科技服务模式与机制。加强新型职业农民培育和高素质农业从业者培训，提升从业人员技术水平与经营能力。优化利益联结机制，推动小农户与现代农业发展有机衔接，实现科技兴农、产业富民，打造乡村振兴的示范样板。</w:t>
            </w:r>
          </w:p>
          <w:p w14:paraId="19601BB6">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现代农业数智设施示范园项目（一期）：</w:t>
            </w:r>
            <w:r>
              <w:rPr>
                <w:rFonts w:ascii="Times New Roman" w:hAnsi="Times New Roman" w:eastAsia="仿宋" w:cs="仿宋"/>
                <w:smallCaps w:val="0"/>
                <w:color w:val="000000" w:themeColor="text1"/>
                <w:sz w:val="24"/>
                <w:szCs w:val="24"/>
                <w:highlight w:val="none"/>
                <w14:textFill>
                  <w14:solidFill>
                    <w14:schemeClr w14:val="tx1"/>
                  </w14:solidFill>
                </w14:textFill>
              </w:rPr>
              <w:t>项目分AB两个区进行建设，包括厂房、展示大厅、包装及加工车间、植物工厂、工厂、果蔬种植区、种苗培育区、加工包装区、冷库等设施。</w:t>
            </w:r>
          </w:p>
          <w:p w14:paraId="18D3C3B3">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现代农业数智设施产业园项目（二期）：</w:t>
            </w:r>
            <w:r>
              <w:rPr>
                <w:rFonts w:ascii="Times New Roman" w:hAnsi="Times New Roman" w:eastAsia="仿宋" w:cs="仿宋"/>
                <w:smallCaps w:val="0"/>
                <w:color w:val="000000" w:themeColor="text1"/>
                <w:sz w:val="24"/>
                <w:szCs w:val="24"/>
                <w:highlight w:val="none"/>
                <w14:textFill>
                  <w14:solidFill>
                    <w14:schemeClr w14:val="tx1"/>
                  </w14:solidFill>
                </w14:textFill>
              </w:rPr>
              <w:t>建设农产品深加工车间1430㎡，果蔬加工车间1375㎡，果蔬加工包装车间3270㎡及配套设施。</w:t>
            </w:r>
          </w:p>
          <w:p w14:paraId="18980A4A">
            <w:pPr>
              <w:pStyle w:val="21"/>
              <w:spacing w:line="340" w:lineRule="exact"/>
              <w:ind w:firstLine="482"/>
              <w:rPr>
                <w:rFonts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现代农业产业园项目：</w:t>
            </w:r>
            <w:r>
              <w:rPr>
                <w:rFonts w:ascii="Times New Roman" w:hAnsi="Times New Roman" w:eastAsia="仿宋" w:cs="仿宋"/>
                <w:smallCaps w:val="0"/>
                <w:color w:val="000000" w:themeColor="text1"/>
                <w:sz w:val="24"/>
                <w:szCs w:val="24"/>
                <w:highlight w:val="none"/>
                <w14:textFill>
                  <w14:solidFill>
                    <w14:schemeClr w14:val="tx1"/>
                  </w14:solidFill>
                </w14:textFill>
              </w:rPr>
              <w:t>建设1000平方米智能大棚80栋，展示中心一栋。</w:t>
            </w:r>
          </w:p>
          <w:p w14:paraId="1FEF4229">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秸秆发酵可消化多糖项目（一期）：</w:t>
            </w:r>
            <w:r>
              <w:rPr>
                <w:rFonts w:ascii="Times New Roman" w:hAnsi="Times New Roman" w:eastAsia="仿宋" w:cs="仿宋"/>
                <w:smallCaps w:val="0"/>
                <w:color w:val="000000" w:themeColor="text1"/>
                <w:sz w:val="24"/>
                <w:szCs w:val="24"/>
                <w:highlight w:val="none"/>
                <w14:textFill>
                  <w14:solidFill>
                    <w14:schemeClr w14:val="tx1"/>
                  </w14:solidFill>
                </w14:textFill>
              </w:rPr>
              <w:t>租用食品产业园厂房进行建设，年产1万吨秸秆蛋白、20万吨秸秆发酵可消化多糖及单细胞蛋白。</w:t>
            </w:r>
          </w:p>
          <w:p w14:paraId="0C915231">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hint="default" w:ascii="Times New Roman" w:hAnsi="Times New Roman" w:eastAsia="仿宋" w:cs="仿宋"/>
                <w:b/>
                <w:bCs/>
                <w:smallCaps w:val="0"/>
                <w:color w:val="000000" w:themeColor="text1"/>
                <w:sz w:val="24"/>
                <w:szCs w:val="24"/>
                <w:highlight w:val="none"/>
                <w14:textFill>
                  <w14:solidFill>
                    <w14:schemeClr w14:val="tx1"/>
                  </w14:solidFill>
                </w14:textFill>
              </w:rPr>
              <w:t>鲜食玉米新型功能性包装材料研发生产项目</w:t>
            </w:r>
            <w:r>
              <w:rPr>
                <w:rFonts w:ascii="Times New Roman" w:hAnsi="Times New Roman" w:eastAsia="仿宋" w:cs="仿宋"/>
                <w:b/>
                <w:bCs/>
                <w:smallCaps w:val="0"/>
                <w:color w:val="000000" w:themeColor="text1"/>
                <w:sz w:val="24"/>
                <w:szCs w:val="24"/>
                <w:highlight w:val="none"/>
                <w14:textFill>
                  <w14:solidFill>
                    <w14:schemeClr w14:val="tx1"/>
                  </w14:solidFill>
                </w14:textFill>
              </w:rPr>
              <w:t>：</w:t>
            </w:r>
            <w:r>
              <w:rPr>
                <w:rFonts w:ascii="Times New Roman" w:hAnsi="Times New Roman" w:eastAsia="仿宋" w:cs="仿宋"/>
                <w:smallCaps w:val="0"/>
                <w:color w:val="000000" w:themeColor="text1"/>
                <w:sz w:val="24"/>
                <w:szCs w:val="24"/>
                <w:highlight w:val="none"/>
                <w14:textFill>
                  <w14:solidFill>
                    <w14:schemeClr w14:val="tx1"/>
                  </w14:solidFill>
                </w14:textFill>
              </w:rPr>
              <w:t>主要建设生产车间、库房等配套设施，新建生产线5条，主要生产鲜食玉米新型功能性包装袋。</w:t>
            </w:r>
          </w:p>
        </w:tc>
      </w:tr>
    </w:tbl>
    <w:p w14:paraId="30F05A87">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eastAsia="楷体_GB2312" w:cs="楷体_GB2312"/>
          <w:smallCaps w:val="0"/>
          <w:color w:val="000000" w:themeColor="text1"/>
          <w:highlight w:val="none"/>
          <w14:textFill>
            <w14:solidFill>
              <w14:schemeClr w14:val="tx1"/>
            </w14:solidFill>
          </w14:textFill>
        </w:rPr>
      </w:pPr>
      <w:bookmarkStart w:id="126" w:name="_Toc9762"/>
      <w:bookmarkStart w:id="127" w:name="_Toc20660"/>
      <w:bookmarkStart w:id="128" w:name="_Toc25116"/>
      <w:bookmarkStart w:id="129" w:name="_Toc831"/>
      <w:r>
        <w:rPr>
          <w:rFonts w:hint="eastAsia" w:ascii="Times New Roman" w:hAnsi="Times New Roman"/>
          <w:smallCaps w:val="0"/>
          <w:color w:val="000000" w:themeColor="text1"/>
          <w:highlight w:val="none"/>
          <w14:textFill>
            <w14:solidFill>
              <w14:schemeClr w14:val="tx1"/>
            </w14:solidFill>
          </w14:textFill>
        </w:rPr>
        <w:t>第二节 保障国家粮食安全</w:t>
      </w:r>
      <w:bookmarkEnd w:id="126"/>
      <w:bookmarkEnd w:id="127"/>
      <w:bookmarkEnd w:id="128"/>
      <w:bookmarkEnd w:id="129"/>
    </w:p>
    <w:p w14:paraId="71D5A79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实施粮食安全提升工程，严格落实耕地保护制度，推进高标准农田集中连片建设，夯实“藏粮于地”基础；优化粮食生产区域布局，强化农业科技支撑，提升全程机械化水平，增强“藏粮于技”能力。加力实施</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千亿斤粮食</w:t>
      </w:r>
      <w:r>
        <w:rPr>
          <w:rFonts w:hint="eastAsia" w:ascii="Times New Roman" w:hAnsi="Times New Roman" w:cs="仿宋"/>
          <w:smallCaps w:val="0"/>
          <w:color w:val="000000" w:themeColor="text1"/>
          <w:highlight w:val="none"/>
          <w:lang w:eastAsia="zh-CN"/>
          <w14:textFill>
            <w14:solidFill>
              <w14:schemeClr w14:val="tx1"/>
            </w14:solidFill>
          </w14:textFill>
        </w:rPr>
        <w:t>”</w:t>
      </w:r>
      <w:r>
        <w:rPr>
          <w:rFonts w:hint="eastAsia" w:ascii="Times New Roman" w:hAnsi="Times New Roman" w:cs="仿宋"/>
          <w:smallCaps w:val="0"/>
          <w:color w:val="000000" w:themeColor="text1"/>
          <w:highlight w:val="none"/>
          <w14:textFill>
            <w14:solidFill>
              <w14:schemeClr w14:val="tx1"/>
            </w14:solidFill>
          </w14:textFill>
        </w:rPr>
        <w:t>产能建设工程，全面筑牢粮食安全屏障。</w:t>
      </w:r>
    </w:p>
    <w:p w14:paraId="07B2DE4F">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稳定粮食播种面积。</w:t>
      </w:r>
      <w:r>
        <w:rPr>
          <w:rFonts w:hint="eastAsia" w:ascii="Times New Roman" w:hAnsi="Times New Roman" w:cs="仿宋"/>
          <w:smallCaps w:val="0"/>
          <w:color w:val="000000" w:themeColor="text1"/>
          <w:highlight w:val="none"/>
          <w14:textFill>
            <w14:solidFill>
              <w14:schemeClr w14:val="tx1"/>
            </w14:solidFill>
          </w14:textFill>
        </w:rPr>
        <w:t>严格落实耕地保护制度，全面推行“田长制”，健全市、乡、村三级网格化监管体系。规范耕地占补平衡管理，坚决遏制耕地“非农化”、防止“非粮化”。将粮食播种面积任务完成情况纳入粮食安全责任制考核，确保全市粮食播种面积稳定在460万亩以上。强化政策支持，及时足额发放种粮补贴，合理释放宜耕后备资源，推动播种面积稳中有增。</w:t>
      </w:r>
    </w:p>
    <w:p w14:paraId="709BF22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加强黑土地保护。</w:t>
      </w:r>
      <w:r>
        <w:rPr>
          <w:rFonts w:hint="eastAsia" w:ascii="Times New Roman" w:hAnsi="Times New Roman" w:cs="仿宋"/>
          <w:smallCaps w:val="0"/>
          <w:color w:val="000000" w:themeColor="text1"/>
          <w:highlight w:val="none"/>
          <w14:textFill>
            <w14:solidFill>
              <w14:schemeClr w14:val="tx1"/>
            </w14:solidFill>
          </w14:textFill>
        </w:rPr>
        <w:t>持续完善具有公主岭特色的黑土地保护模式，大力推广增施有机肥、保护性耕作、养分调控、米豆轮作等技术措施，稳步提升黑土耕地质量。结合高标准农田建设，同步推进农田水利配套，不断提升农业综合生产能力。</w:t>
      </w:r>
    </w:p>
    <w:p w14:paraId="00DCF816">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加强农田水利设施建设。</w:t>
      </w:r>
      <w:r>
        <w:rPr>
          <w:rFonts w:hint="eastAsia" w:ascii="Times New Roman" w:hAnsi="Times New Roman" w:cs="仿宋"/>
          <w:smallCaps w:val="0"/>
          <w:color w:val="000000" w:themeColor="text1"/>
          <w:highlight w:val="none"/>
          <w14:textFill>
            <w14:solidFill>
              <w14:schemeClr w14:val="tx1"/>
            </w14:solidFill>
          </w14:textFill>
        </w:rPr>
        <w:t>加快建设现代化高标准农田，</w:t>
      </w:r>
      <w:r>
        <w:rPr>
          <w:rFonts w:hint="eastAsia" w:ascii="Times New Roman" w:hAnsi="Times New Roman" w:cs="仿宋"/>
          <w:smallCaps w:val="0"/>
          <w:color w:val="000000" w:themeColor="text1"/>
          <w:highlight w:val="none"/>
          <w:lang w:val="en-US" w:eastAsia="zh-CN"/>
          <w14:textFill>
            <w14:solidFill>
              <w14:schemeClr w14:val="tx1"/>
            </w14:solidFill>
          </w14:textFill>
        </w:rPr>
        <w:t>加快</w:t>
      </w:r>
      <w:r>
        <w:rPr>
          <w:rFonts w:hint="eastAsia" w:ascii="Times New Roman" w:hAnsi="Times New Roman" w:cs="仿宋"/>
          <w:smallCaps w:val="0"/>
          <w:color w:val="000000" w:themeColor="text1"/>
          <w:highlight w:val="none"/>
          <w14:textFill>
            <w14:solidFill>
              <w14:schemeClr w14:val="tx1"/>
            </w14:solidFill>
          </w14:textFill>
        </w:rPr>
        <w:t>推动将符合条件的永久基本农田全部建成高标准农田。加强涝区综合治理，推进大中型灌区续建配套与节水改造，实施病险水库除险加固和中小河流治理。重点推进小辽河、姜小河、大岭涝区（永发片区）等治理工程，完善末级渠系建设与管护，构建系统完备、排蓄可控的农田沟渠网络，全面提升农田防灾减灾能力。</w:t>
      </w:r>
    </w:p>
    <w:p w14:paraId="2CB8462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提高粮食产量。</w:t>
      </w:r>
      <w:r>
        <w:rPr>
          <w:rFonts w:hint="eastAsia" w:ascii="Times New Roman" w:hAnsi="Times New Roman" w:cs="仿宋"/>
          <w:smallCaps w:val="0"/>
          <w:color w:val="000000" w:themeColor="text1"/>
          <w:highlight w:val="none"/>
          <w14:textFill>
            <w14:solidFill>
              <w14:schemeClr w14:val="tx1"/>
            </w14:solidFill>
          </w14:textFill>
        </w:rPr>
        <w:t>实施主粮作物单产提升行动，大面积推广高产优质多抗品种，集成绿色高效栽培技术，配套良田、良机、良智，建设“百亩攻关田、千亩示范方、万亩示范片”，带动全市粮食亩均单产提高30斤以上。推动全程机械化示范，培育壮大农机合作社，推广“全程机械化+综合农事”服务模式，加大智能高效农机具补贴推广力度，将主要农作物综合机械化率提升至96.2%以上。强化农业防灾减灾，健全病虫害监测预警与防控体系，推进专业化统防统治，提升人工影响天气现代化水平，全力保障粮食稳产增产。</w:t>
      </w:r>
    </w:p>
    <w:tbl>
      <w:tblPr>
        <w:tblStyle w:val="18"/>
        <w:tblpPr w:leftFromText="180" w:rightFromText="180"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A7B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1" w:type="dxa"/>
            <w:tcBorders>
              <w:top w:val="single" w:color="auto" w:sz="4" w:space="0"/>
              <w:left w:val="single" w:color="auto" w:sz="4" w:space="0"/>
              <w:bottom w:val="single" w:color="auto" w:sz="4" w:space="0"/>
              <w:right w:val="single" w:color="auto" w:sz="4" w:space="0"/>
            </w:tcBorders>
            <w:vAlign w:val="center"/>
          </w:tcPr>
          <w:p w14:paraId="5CBCCA53">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4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粮食产量提升行动</w:t>
            </w:r>
          </w:p>
          <w:p w14:paraId="2CD0BE5E">
            <w:pPr>
              <w:pStyle w:val="21"/>
              <w:spacing w:line="340" w:lineRule="exact"/>
              <w:ind w:firstLine="0" w:firstLineChars="0"/>
              <w:rPr>
                <w:rFonts w:hint="default" w:ascii="Times New Roman" w:hAnsi="Times New Roman"/>
                <w:b/>
                <w:bCs/>
                <w:smallCaps w:val="0"/>
                <w:color w:val="000000" w:themeColor="text1"/>
                <w:highlight w:val="none"/>
                <w14:textFill>
                  <w14:solidFill>
                    <w14:schemeClr w14:val="tx1"/>
                  </w14:solidFill>
                </w14:textFill>
              </w:rPr>
            </w:pPr>
          </w:p>
          <w:p w14:paraId="0D71FCF0">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单产提升行动。</w:t>
            </w:r>
            <w:r>
              <w:rPr>
                <w:rFonts w:ascii="Times New Roman" w:hAnsi="Times New Roman" w:eastAsia="仿宋" w:cs="仿宋"/>
                <w:smallCaps w:val="0"/>
                <w:color w:val="000000" w:themeColor="text1"/>
                <w:sz w:val="24"/>
                <w:szCs w:val="24"/>
                <w:highlight w:val="none"/>
                <w14:textFill>
                  <w14:solidFill>
                    <w14:schemeClr w14:val="tx1"/>
                  </w14:solidFill>
                </w14:textFill>
              </w:rPr>
              <w:t>实施水稻病虫害防控、一喷多促、绿色玉米螟生物统防统治等促增产项目。玉米实施作业区域覆盖范家屯镇、大榆树镇、怀德镇、响水镇、永发乡、毛城子镇、南崴子街道、大岭镇、桑树台镇、秦家屯镇、双龙镇、刘房子街道、黑林子镇、双城堡</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镇等</w:t>
            </w:r>
            <w:r>
              <w:rPr>
                <w:rFonts w:ascii="Times New Roman" w:hAnsi="Times New Roman" w:eastAsia="仿宋" w:cs="仿宋"/>
                <w:smallCaps w:val="0"/>
                <w:color w:val="000000" w:themeColor="text1"/>
                <w:sz w:val="24"/>
                <w:szCs w:val="24"/>
                <w:highlight w:val="none"/>
                <w14:textFill>
                  <w14:solidFill>
                    <w14:schemeClr w14:val="tx1"/>
                  </w14:solidFill>
                </w14:textFill>
              </w:rPr>
              <w:t>14个乡镇受降雨影响较大的低洼地块。</w:t>
            </w:r>
          </w:p>
          <w:p w14:paraId="3D23F257">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高标准农田建设工程。</w:t>
            </w:r>
            <w:r>
              <w:rPr>
                <w:rFonts w:ascii="Times New Roman" w:hAnsi="Times New Roman" w:eastAsia="仿宋" w:cs="仿宋"/>
                <w:smallCaps w:val="0"/>
                <w:color w:val="000000" w:themeColor="text1"/>
                <w:sz w:val="24"/>
                <w:szCs w:val="24"/>
                <w:highlight w:val="none"/>
                <w14:textFill>
                  <w14:solidFill>
                    <w14:schemeClr w14:val="tx1"/>
                  </w14:solidFill>
                </w14:textFill>
              </w:rPr>
              <w:t>围绕田块整治、土壤改良、灌溉排水、田间道路、防护林网、农田输配电、科技赋能、管护利用等重点方面，因地制宜选择建设内容，着力补齐基础设施短板。</w:t>
            </w:r>
          </w:p>
          <w:p w14:paraId="75B6D70E">
            <w:pPr>
              <w:pStyle w:val="21"/>
              <w:spacing w:line="340" w:lineRule="exact"/>
              <w:ind w:firstLine="482"/>
              <w:rPr>
                <w:rFonts w:hint="default" w:ascii="Times New Roman" w:hAnsi="Times New Roman"/>
                <w:smallCaps w:val="0"/>
                <w:color w:val="000000" w:themeColor="text1"/>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黑土地保护行动。</w:t>
            </w:r>
            <w:r>
              <w:rPr>
                <w:rFonts w:ascii="Times New Roman" w:hAnsi="Times New Roman" w:eastAsia="仿宋" w:cs="仿宋"/>
                <w:smallCaps w:val="0"/>
                <w:color w:val="000000" w:themeColor="text1"/>
                <w:sz w:val="24"/>
                <w:szCs w:val="24"/>
                <w:highlight w:val="none"/>
                <w14:textFill>
                  <w14:solidFill>
                    <w14:schemeClr w14:val="tx1"/>
                  </w14:solidFill>
                </w14:textFill>
              </w:rPr>
              <w:t>在中东部怀德镇、秦家屯镇、黑林子镇等乡镇重点构建黑土地保护增碳提质区，优先推广秸秆覆盖还田免耕和秸秆覆盖还田少耕两种保护性耕作技术，积造和增施农家肥，开展保护性耕作。在北部杨大城子镇、双城堡镇等乡镇重点构建黑土地保护改良培肥区，应用免耕或少耕、化肥与有机肥配施、科学轮作、养分调控、测土施肥等综合配套技术，提高土壤肥力水平。南部二十家子满族镇、龙山满族乡重点构建黑土地保护林—田—水综合修复区，推广秸秆覆盖还田、免耕播种、科学轮作等措施，控制水土流失、遏制面源污染，增强水土流失防御能力。</w:t>
            </w:r>
          </w:p>
        </w:tc>
      </w:tr>
    </w:tbl>
    <w:p w14:paraId="4EFCE6F1">
      <w:pPr>
        <w:pStyle w:val="3"/>
        <w:spacing w:line="576" w:lineRule="exact"/>
        <w:outlineLvl w:val="0"/>
        <w:rPr>
          <w:rFonts w:ascii="Times New Roman" w:hAnsi="Times New Roman" w:eastAsia="楷体_GB2312" w:cs="楷体_GB2312"/>
          <w:smallCaps w:val="0"/>
          <w:color w:val="000000" w:themeColor="text1"/>
          <w:highlight w:val="none"/>
          <w14:textFill>
            <w14:solidFill>
              <w14:schemeClr w14:val="tx1"/>
            </w14:solidFill>
          </w14:textFill>
        </w:rPr>
      </w:pPr>
      <w:bookmarkStart w:id="130" w:name="_Toc27110"/>
      <w:bookmarkStart w:id="131" w:name="_Toc5022"/>
      <w:bookmarkStart w:id="132" w:name="_Toc4500"/>
      <w:bookmarkStart w:id="133" w:name="_Toc6483"/>
      <w:r>
        <w:rPr>
          <w:rFonts w:hint="eastAsia" w:ascii="Times New Roman" w:hAnsi="Times New Roman"/>
          <w:smallCaps w:val="0"/>
          <w:color w:val="000000" w:themeColor="text1"/>
          <w:highlight w:val="none"/>
          <w14:textFill>
            <w14:solidFill>
              <w14:schemeClr w14:val="tx1"/>
            </w14:solidFill>
          </w14:textFill>
        </w:rPr>
        <w:t>第三节 推动畜牧业提档升级</w:t>
      </w:r>
      <w:bookmarkEnd w:id="130"/>
      <w:bookmarkEnd w:id="131"/>
      <w:bookmarkEnd w:id="132"/>
      <w:bookmarkEnd w:id="133"/>
    </w:p>
    <w:p w14:paraId="4EFFDB76">
      <w:pPr>
        <w:spacing w:line="576" w:lineRule="exact"/>
        <w:ind w:firstLine="640"/>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依托北部牧业发展区，培育壮大2—3家标准化、规模化、智能化畜牧养殖场，示范推广现代养殖模式。深入实施“秸秆变肉”工程，扩大肉牛养殖规模，提高规模化、标准化、生态化养殖水平，加快推进公主岭肉牛良种繁育融合示范产业园续建项目。加强重点企业引育，建设生猪优势特色产业集群，完善饲养生猪、精深加工、冷链销售全产业链。落实生猪调出大县政策，重点推进双城堡镇胜利村育林养殖项目建设。</w:t>
      </w:r>
    </w:p>
    <w:tbl>
      <w:tblPr>
        <w:tblStyle w:val="18"/>
        <w:tblpPr w:leftFromText="180" w:rightFromText="180"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2F7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Borders>
              <w:top w:val="single" w:color="auto" w:sz="4" w:space="0"/>
              <w:left w:val="single" w:color="auto" w:sz="4" w:space="0"/>
              <w:bottom w:val="single" w:color="auto" w:sz="4" w:space="0"/>
              <w:right w:val="single" w:color="auto" w:sz="4" w:space="0"/>
            </w:tcBorders>
            <w:vAlign w:val="center"/>
          </w:tcPr>
          <w:p w14:paraId="7BFD9B5B">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5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畜牧业重点项目</w:t>
            </w:r>
          </w:p>
          <w:p w14:paraId="37465751">
            <w:pPr>
              <w:pStyle w:val="21"/>
              <w:spacing w:line="340" w:lineRule="exact"/>
              <w:ind w:firstLine="0" w:firstLineChars="0"/>
              <w:rPr>
                <w:rFonts w:hint="default" w:ascii="Times New Roman" w:hAnsi="Times New Roman"/>
                <w:b/>
                <w:bCs/>
                <w:smallCaps w:val="0"/>
                <w:color w:val="000000" w:themeColor="text1"/>
                <w:highlight w:val="none"/>
                <w14:textFill>
                  <w14:solidFill>
                    <w14:schemeClr w14:val="tx1"/>
                  </w14:solidFill>
                </w14:textFill>
              </w:rPr>
            </w:pPr>
          </w:p>
          <w:p w14:paraId="4BB3121F">
            <w:pPr>
              <w:pStyle w:val="21"/>
              <w:spacing w:line="340" w:lineRule="exact"/>
              <w:ind w:firstLine="48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打造肉牛产业链</w:t>
            </w:r>
            <w:r>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t>。</w:t>
            </w:r>
            <w:r>
              <w:rPr>
                <w:rFonts w:ascii="Times New Roman" w:hAnsi="Times New Roman" w:eastAsia="仿宋" w:cs="仿宋"/>
                <w:smallCaps w:val="0"/>
                <w:color w:val="000000" w:themeColor="text1"/>
                <w:sz w:val="24"/>
                <w:szCs w:val="24"/>
                <w:highlight w:val="none"/>
                <w14:textFill>
                  <w14:solidFill>
                    <w14:schemeClr w14:val="tx1"/>
                  </w14:solidFill>
                </w14:textFill>
              </w:rPr>
              <w:t>以桑树台镇榛柴岗村、互助村的公主岭肉牛良种繁育融合示范产业园区项目为核心，开展肉牛产业集群建设。推动全产业链研发、全产业链创新、全产业链增值，构建高质量高附加值的肉牛价值链，推动肉牛产业向良种繁育、集约养殖、精深加工、全链增值升级。</w:t>
            </w:r>
          </w:p>
          <w:p w14:paraId="4244EB16">
            <w:pPr>
              <w:pStyle w:val="21"/>
              <w:spacing w:line="340" w:lineRule="exact"/>
              <w:ind w:firstLine="422"/>
              <w:rPr>
                <w:rFonts w:hint="default" w:ascii="Times New Roman" w:hAnsi="Times New Roman" w:eastAsia="仿宋" w:cs="仿宋"/>
                <w:smallCaps w:val="0"/>
                <w:color w:val="000000" w:themeColor="text1"/>
                <w:sz w:val="24"/>
                <w:szCs w:val="24"/>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打造生猪产业链。</w:t>
            </w:r>
            <w:r>
              <w:rPr>
                <w:rFonts w:ascii="Times New Roman" w:hAnsi="Times New Roman" w:eastAsia="仿宋" w:cs="仿宋"/>
                <w:smallCaps w:val="0"/>
                <w:color w:val="000000" w:themeColor="text1"/>
                <w:sz w:val="24"/>
                <w:szCs w:val="24"/>
                <w:highlight w:val="none"/>
                <w14:textFill>
                  <w14:solidFill>
                    <w14:schemeClr w14:val="tx1"/>
                  </w14:solidFill>
                </w14:textFill>
              </w:rPr>
              <w:t>打造生猪饲养、加工、销售产业链，加强双城堡镇胜利村育林养殖项目建设，在中心乡镇建设综合性小型畜禽屠宰场，推广“长白、大白、杜洛克”等优良品种，推动生猪产业由调出生猪向调出肉制品和餐桌食品转型。</w:t>
            </w:r>
          </w:p>
        </w:tc>
      </w:tr>
    </w:tbl>
    <w:p w14:paraId="3C5DE186">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134" w:name="_Toc27501"/>
      <w:bookmarkStart w:id="135" w:name="_Toc2903"/>
      <w:bookmarkStart w:id="136" w:name="_Toc9931"/>
      <w:bookmarkStart w:id="137" w:name="_Toc25301"/>
      <w:bookmarkStart w:id="138" w:name="_Toc12904"/>
      <w:bookmarkStart w:id="139" w:name="_Toc2223"/>
      <w:bookmarkStart w:id="140" w:name="_Toc17246"/>
      <w:bookmarkStart w:id="141" w:name="_Toc2658"/>
      <w:r>
        <w:rPr>
          <w:rFonts w:hint="eastAsia" w:ascii="Times New Roman" w:hAnsi="Times New Roman"/>
          <w:smallCaps w:val="0"/>
          <w:color w:val="000000" w:themeColor="text1"/>
          <w:highlight w:val="none"/>
          <w14:textFill>
            <w14:solidFill>
              <w14:schemeClr w14:val="tx1"/>
            </w14:solidFill>
          </w14:textFill>
        </w:rPr>
        <w:t xml:space="preserve">第四节 </w:t>
      </w:r>
      <w:bookmarkEnd w:id="134"/>
      <w:bookmarkEnd w:id="135"/>
      <w:bookmarkEnd w:id="136"/>
      <w:bookmarkEnd w:id="137"/>
      <w:r>
        <w:rPr>
          <w:rFonts w:hint="eastAsia" w:ascii="Times New Roman" w:hAnsi="Times New Roman"/>
          <w:smallCaps w:val="0"/>
          <w:color w:val="000000" w:themeColor="text1"/>
          <w:highlight w:val="none"/>
          <w14:textFill>
            <w14:solidFill>
              <w14:schemeClr w14:val="tx1"/>
            </w14:solidFill>
          </w14:textFill>
        </w:rPr>
        <w:t>推进兴业富民产业</w:t>
      </w:r>
      <w:bookmarkEnd w:id="138"/>
      <w:bookmarkEnd w:id="139"/>
      <w:bookmarkEnd w:id="140"/>
      <w:bookmarkEnd w:id="141"/>
    </w:p>
    <w:p w14:paraId="57318BA2">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园艺特产业。</w:t>
      </w:r>
      <w:r>
        <w:rPr>
          <w:rFonts w:hint="eastAsia" w:ascii="Times New Roman" w:hAnsi="Times New Roman" w:cs="仿宋"/>
          <w:smallCaps w:val="0"/>
          <w:color w:val="000000" w:themeColor="text1"/>
          <w:highlight w:val="none"/>
          <w14:textFill>
            <w14:solidFill>
              <w14:schemeClr w14:val="tx1"/>
            </w14:solidFill>
          </w14:textFill>
        </w:rPr>
        <w:t>依托现有生态农业龙头企业，联动响水湾龙棚膜园区、怀德镇三里铺子村等主体，整合“企业+村集体+园区”资源，构建现代园艺产业集群。以农业生态园、葡萄园、草莓采摘园等为重点，大力发展休闲观光农业，贯通“种植—加工—销售—服务”全链条，推动三产深度融合，延伸产业链、提升附加值，加快产业从规模扩张向质量效益转型。</w:t>
      </w:r>
    </w:p>
    <w:p w14:paraId="17E79D04">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经济作物种植。</w:t>
      </w:r>
      <w:r>
        <w:rPr>
          <w:rFonts w:hint="eastAsia" w:ascii="Times New Roman" w:hAnsi="Times New Roman" w:cs="仿宋"/>
          <w:smallCaps w:val="0"/>
          <w:color w:val="000000" w:themeColor="text1"/>
          <w:highlight w:val="none"/>
          <w14:textFill>
            <w14:solidFill>
              <w14:schemeClr w14:val="tx1"/>
            </w14:solidFill>
          </w14:textFill>
        </w:rPr>
        <w:t>稳定蔬菜种植面积，重点在响水、范家屯、大岭、永发、怀德等地发展西红柿、黄瓜、茄子等品种，引进优质适销品类，扩大规模、提升品质，建设服务长春都市圈的“菜篮子”生产基地。在苇子沟、环岭、刘房子、双城堡等地发展灵芝、葡萄、草莓、香瓜等特色种植。依托大岭、范家屯等区域发展君子兰、蝴蝶兰等高档花卉种植，促进增收。</w:t>
      </w:r>
    </w:p>
    <w:p w14:paraId="705C8F37">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庭院经济。</w:t>
      </w:r>
      <w:r>
        <w:rPr>
          <w:rFonts w:hint="eastAsia" w:ascii="Times New Roman" w:hAnsi="Times New Roman" w:cs="仿宋"/>
          <w:smallCaps w:val="0"/>
          <w:color w:val="000000" w:themeColor="text1"/>
          <w:highlight w:val="none"/>
          <w14:textFill>
            <w14:solidFill>
              <w14:schemeClr w14:val="tx1"/>
            </w14:solidFill>
          </w14:textFill>
        </w:rPr>
        <w:t>积极引导农户利用房前屋后、闲置院落等空间，因地制宜发展庭院特色种植、养殖、手工业、休闲旅游及生活服务等“庭院+”模式。中西部区域重点发展庭院辣椒、杂粮杂豆、家庭养殖、小微工坊；东部区域重点培育民宿、林果、林下作物、蔬菜、中药材及特色养殖，形成“小庭院、大产业”的发展格局。</w:t>
      </w:r>
    </w:p>
    <w:p w14:paraId="7A77EB26">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共建现代农业产业带。</w:t>
      </w:r>
      <w:r>
        <w:rPr>
          <w:rFonts w:hint="eastAsia" w:ascii="Times New Roman" w:hAnsi="Times New Roman" w:cs="仿宋"/>
          <w:smallCaps w:val="0"/>
          <w:color w:val="000000" w:themeColor="text1"/>
          <w:highlight w:val="none"/>
          <w14:textFill>
            <w14:solidFill>
              <w14:schemeClr w14:val="tx1"/>
            </w14:solidFill>
          </w14:textFill>
        </w:rPr>
        <w:t>加强与长春现代化都市圈及相关县市合作，发挥长春农高区示范引领作用，共同建设以黑土地保护、现代化大农业、农产品精深加工为重点的现代农业产业带。联合推进粮食高产基地、农田水利、仓储物流、气象监测和智慧农业场景建设，协同推广优良品种、高标准农田、精量播种、水肥一体化、绿色防控等技术。推进东辽河、新凯河等跨域流域水利设施与防洪工程建设，完善现代化粮食仓储物流网络，共建智慧农场示范场景。着力培育鲜食玉米、畜禽加工、蔬菜花卉等产业集群，增强对都市圈现代农业产业带的支撑能力。</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2"/>
        <w:gridCol w:w="6649"/>
      </w:tblGrid>
      <w:tr w14:paraId="0F69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061" w:type="dxa"/>
            <w:gridSpan w:val="2"/>
            <w:vAlign w:val="center"/>
          </w:tcPr>
          <w:p w14:paraId="61064DE4">
            <w:pPr>
              <w:pStyle w:val="12"/>
              <w:snapToGrid w:val="0"/>
              <w:spacing w:line="340" w:lineRule="exact"/>
              <w:ind w:firstLine="0" w:firstLineChars="0"/>
              <w:jc w:val="center"/>
              <w:rPr>
                <w:rFonts w:ascii="Times New Roman" w:hAnsi="Times New Roman" w:eastAsia="仿宋" w:cs="仿宋"/>
                <w:smallCaps w:val="0"/>
                <w:color w:val="000000" w:themeColor="text1"/>
                <w:sz w:val="32"/>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6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兴业富民产业</w:t>
            </w:r>
          </w:p>
        </w:tc>
      </w:tr>
      <w:tr w14:paraId="64BA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center"/>
          </w:tcPr>
          <w:p w14:paraId="53E0FD72">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常规蔬菜</w:t>
            </w:r>
          </w:p>
        </w:tc>
        <w:tc>
          <w:tcPr>
            <w:tcW w:w="6649" w:type="dxa"/>
          </w:tcPr>
          <w:p w14:paraId="081C823B">
            <w:pPr>
              <w:pStyle w:val="4"/>
              <w:spacing w:line="340" w:lineRule="exact"/>
              <w:ind w:firstLine="0" w:firstLineChars="0"/>
              <w:rPr>
                <w:rFonts w:ascii="Times New Roman" w:hAnsi="Times New Roman" w:cs="仿宋"/>
                <w:smallCaps w:val="0"/>
                <w:color w:val="000000" w:themeColor="text1"/>
                <w:sz w:val="24"/>
                <w:szCs w:val="24"/>
                <w:highlight w:val="none"/>
                <w14:textFill>
                  <w14:solidFill>
                    <w14:schemeClr w14:val="tx1"/>
                  </w14:solidFill>
                </w14:textFill>
              </w:rPr>
            </w:pPr>
            <w:r>
              <w:rPr>
                <w:rFonts w:hint="eastAsia" w:ascii="Times New Roman" w:hAnsi="Times New Roman" w:cs="仿宋"/>
                <w:smallCaps w:val="0"/>
                <w:color w:val="000000" w:themeColor="text1"/>
                <w:sz w:val="24"/>
                <w:szCs w:val="24"/>
                <w:highlight w:val="none"/>
                <w14:textFill>
                  <w14:solidFill>
                    <w14:schemeClr w14:val="tx1"/>
                  </w14:solidFill>
                </w14:textFill>
              </w:rPr>
              <w:t>以响水、范家屯、大岭、永发、怀德为重点，重点发展西红柿、黄瓜、茄子、辣椒、豆角、白菜、珠葱、叶菜类等品种，打造长春市民“菜篮子”生产基地。</w:t>
            </w:r>
          </w:p>
        </w:tc>
      </w:tr>
      <w:tr w14:paraId="1960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center"/>
          </w:tcPr>
          <w:p w14:paraId="7487324B">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特色蔬菜</w:t>
            </w:r>
          </w:p>
        </w:tc>
        <w:tc>
          <w:tcPr>
            <w:tcW w:w="6649" w:type="dxa"/>
          </w:tcPr>
          <w:p w14:paraId="29085206">
            <w:pPr>
              <w:pStyle w:val="4"/>
              <w:spacing w:line="340" w:lineRule="exact"/>
              <w:ind w:firstLine="0" w:firstLineChars="0"/>
              <w:rPr>
                <w:rFonts w:ascii="Times New Roman" w:hAnsi="Times New Roman" w:cs="仿宋"/>
                <w:smallCaps w:val="0"/>
                <w:color w:val="000000" w:themeColor="text1"/>
                <w:sz w:val="24"/>
                <w:szCs w:val="24"/>
                <w:highlight w:val="none"/>
                <w14:textFill>
                  <w14:solidFill>
                    <w14:schemeClr w14:val="tx1"/>
                  </w14:solidFill>
                </w14:textFill>
              </w:rPr>
            </w:pPr>
            <w:r>
              <w:rPr>
                <w:rFonts w:hint="eastAsia" w:ascii="Times New Roman" w:hAnsi="Times New Roman" w:cs="仿宋"/>
                <w:smallCaps w:val="0"/>
                <w:color w:val="000000" w:themeColor="text1"/>
                <w:sz w:val="24"/>
                <w:szCs w:val="24"/>
                <w:highlight w:val="none"/>
                <w14:textFill>
                  <w14:solidFill>
                    <w14:schemeClr w14:val="tx1"/>
                  </w14:solidFill>
                </w14:textFill>
              </w:rPr>
              <w:t>以老怀德油豆角生产为引领，辐射带动永发、双城堡、双龙、秦家屯、黑林子等乡镇大力发展油豆角生产；以怀德三里堡子村“东北香葱第一村”为核心，辐射带动周边永发乡、双城堡镇、秦家屯镇、</w:t>
            </w:r>
            <w:r>
              <w:rPr>
                <w:rFonts w:hint="eastAsia" w:ascii="Times New Roman" w:hAnsi="Times New Roman" w:cs="仿宋"/>
                <w:smallCaps w:val="0"/>
                <w:color w:val="000000" w:themeColor="text1"/>
                <w:sz w:val="24"/>
                <w:szCs w:val="24"/>
                <w:highlight w:val="none"/>
                <w:lang w:val="en-US" w:eastAsia="zh-CN"/>
                <w14:textFill>
                  <w14:solidFill>
                    <w14:schemeClr w14:val="tx1"/>
                  </w14:solidFill>
                </w14:textFill>
              </w:rPr>
              <w:t>大榆树</w:t>
            </w:r>
            <w:r>
              <w:rPr>
                <w:rFonts w:hint="eastAsia" w:ascii="Times New Roman" w:hAnsi="Times New Roman" w:cs="仿宋"/>
                <w:smallCaps w:val="0"/>
                <w:color w:val="000000" w:themeColor="text1"/>
                <w:sz w:val="24"/>
                <w:szCs w:val="24"/>
                <w:highlight w:val="none"/>
                <w14:textFill>
                  <w14:solidFill>
                    <w14:schemeClr w14:val="tx1"/>
                  </w14:solidFill>
                </w14:textFill>
              </w:rPr>
              <w:t>镇等，扩大香葱生产规模，将小香葱做成大产业，打造香葱生产集聚区。</w:t>
            </w:r>
          </w:p>
        </w:tc>
      </w:tr>
      <w:tr w14:paraId="24C4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center"/>
          </w:tcPr>
          <w:p w14:paraId="313FA845">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食药用菌</w:t>
            </w:r>
          </w:p>
        </w:tc>
        <w:tc>
          <w:tcPr>
            <w:tcW w:w="6649" w:type="dxa"/>
          </w:tcPr>
          <w:p w14:paraId="507F33B3">
            <w:pPr>
              <w:pStyle w:val="4"/>
              <w:spacing w:line="340" w:lineRule="exact"/>
              <w:ind w:firstLine="0" w:firstLineChars="0"/>
              <w:rPr>
                <w:rFonts w:ascii="Times New Roman" w:hAnsi="Times New Roman" w:cs="仿宋"/>
                <w:smallCaps w:val="0"/>
                <w:color w:val="000000" w:themeColor="text1"/>
                <w:sz w:val="24"/>
                <w:szCs w:val="24"/>
                <w:highlight w:val="none"/>
                <w14:textFill>
                  <w14:solidFill>
                    <w14:schemeClr w14:val="tx1"/>
                  </w14:solidFill>
                </w14:textFill>
              </w:rPr>
            </w:pPr>
            <w:r>
              <w:rPr>
                <w:rFonts w:hint="eastAsia" w:ascii="Times New Roman" w:hAnsi="Times New Roman" w:cs="仿宋"/>
                <w:smallCaps w:val="0"/>
                <w:color w:val="000000" w:themeColor="text1"/>
                <w:sz w:val="24"/>
                <w:szCs w:val="24"/>
                <w:highlight w:val="none"/>
                <w14:textFill>
                  <w14:solidFill>
                    <w14:schemeClr w14:val="tx1"/>
                  </w14:solidFill>
                </w14:textFill>
              </w:rPr>
              <w:t>以秦家屯镇两家子食用菌园区、响水万山食用菌园区，怀德三里堡园区等食用菌生产园区为依托，发展滑子蘑、平菇、羊肚菌等食用菌种植，谋划推进食用菌深加工项目，提升食用菌产业综合产值。</w:t>
            </w:r>
          </w:p>
        </w:tc>
      </w:tr>
      <w:tr w14:paraId="6DF5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center"/>
          </w:tcPr>
          <w:p w14:paraId="2FEE4FDA">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特色瓜果</w:t>
            </w:r>
          </w:p>
        </w:tc>
        <w:tc>
          <w:tcPr>
            <w:tcW w:w="6649" w:type="dxa"/>
          </w:tcPr>
          <w:p w14:paraId="471986F3">
            <w:pPr>
              <w:pStyle w:val="4"/>
              <w:spacing w:line="340" w:lineRule="exact"/>
              <w:ind w:firstLine="0" w:firstLineChars="0"/>
              <w:rPr>
                <w:rFonts w:ascii="Times New Roman" w:hAnsi="Times New Roman" w:cs="仿宋"/>
                <w:smallCaps w:val="0"/>
                <w:color w:val="000000" w:themeColor="text1"/>
                <w:sz w:val="24"/>
                <w:szCs w:val="24"/>
                <w:highlight w:val="none"/>
                <w14:textFill>
                  <w14:solidFill>
                    <w14:schemeClr w14:val="tx1"/>
                  </w14:solidFill>
                </w14:textFill>
              </w:rPr>
            </w:pPr>
            <w:r>
              <w:rPr>
                <w:rFonts w:hint="eastAsia" w:ascii="Times New Roman" w:hAnsi="Times New Roman" w:cs="仿宋"/>
                <w:smallCaps w:val="0"/>
                <w:color w:val="000000" w:themeColor="text1"/>
                <w:sz w:val="24"/>
                <w:szCs w:val="24"/>
                <w:highlight w:val="none"/>
                <w14:textFill>
                  <w14:solidFill>
                    <w14:schemeClr w14:val="tx1"/>
                  </w14:solidFill>
                </w14:textFill>
              </w:rPr>
              <w:t>以环岭靠山葡萄园区、桑树台西桑树台村葡萄园区为引领，带动发展设施葡萄特色产业；以环岭石人生态园、范家屯镇王学坊草莓园为重点，打造草莓高端品牌；以刘房子向阳坡生态园为重点，优选高产高质高效樱桃和油桃品种，发展大樱桃和油桃采摘和线上直播带货，推动农旅融合发展；以双城堡“西瓜特产之乡”、十屋、八屋、桑树台香瓜为主，大力发展西瓜、香瓜产业发展。</w:t>
            </w:r>
          </w:p>
        </w:tc>
      </w:tr>
      <w:tr w14:paraId="0DFC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center"/>
          </w:tcPr>
          <w:p w14:paraId="3FBCDD51">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苗木花卉</w:t>
            </w:r>
          </w:p>
        </w:tc>
        <w:tc>
          <w:tcPr>
            <w:tcW w:w="6649" w:type="dxa"/>
          </w:tcPr>
          <w:p w14:paraId="580EE1D5">
            <w:pPr>
              <w:pStyle w:val="4"/>
              <w:spacing w:line="340" w:lineRule="exact"/>
              <w:ind w:firstLine="0" w:firstLineChars="0"/>
              <w:rPr>
                <w:rFonts w:ascii="Times New Roman" w:hAnsi="Times New Roman" w:cs="仿宋"/>
                <w:smallCaps w:val="0"/>
                <w:color w:val="000000" w:themeColor="text1"/>
                <w:sz w:val="24"/>
                <w:szCs w:val="24"/>
                <w:highlight w:val="none"/>
                <w14:textFill>
                  <w14:solidFill>
                    <w14:schemeClr w14:val="tx1"/>
                  </w14:solidFill>
                </w14:textFill>
              </w:rPr>
            </w:pPr>
            <w:r>
              <w:rPr>
                <w:rFonts w:hint="eastAsia" w:ascii="Times New Roman" w:hAnsi="Times New Roman" w:cs="仿宋"/>
                <w:smallCaps w:val="0"/>
                <w:color w:val="000000" w:themeColor="text1"/>
                <w:sz w:val="24"/>
                <w:szCs w:val="24"/>
                <w:highlight w:val="none"/>
                <w14:textFill>
                  <w14:solidFill>
                    <w14:schemeClr w14:val="tx1"/>
                  </w14:solidFill>
                </w14:textFill>
              </w:rPr>
              <w:t>以大岭黄花君子兰基地为主，进行高档花卉君子兰养殖，带动周边村民参与生产和通过抖音、快手等网络平台线上销售增加收入。</w:t>
            </w:r>
          </w:p>
        </w:tc>
      </w:tr>
    </w:tbl>
    <w:p w14:paraId="2060FA7A">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eastAsia="楷体_GB2312" w:cs="楷体_GB2312"/>
          <w:smallCaps w:val="0"/>
          <w:color w:val="000000" w:themeColor="text1"/>
          <w:highlight w:val="none"/>
          <w14:textFill>
            <w14:solidFill>
              <w14:schemeClr w14:val="tx1"/>
            </w14:solidFill>
          </w14:textFill>
        </w:rPr>
      </w:pPr>
      <w:bookmarkStart w:id="142" w:name="_Toc28388"/>
      <w:bookmarkStart w:id="143" w:name="_Toc10193"/>
      <w:bookmarkStart w:id="144" w:name="_Toc7283"/>
      <w:bookmarkStart w:id="145" w:name="_Toc23071"/>
      <w:r>
        <w:rPr>
          <w:rFonts w:hint="eastAsia" w:ascii="Times New Roman" w:hAnsi="Times New Roman"/>
          <w:smallCaps w:val="0"/>
          <w:color w:val="000000" w:themeColor="text1"/>
          <w:highlight w:val="none"/>
          <w14:textFill>
            <w14:solidFill>
              <w14:schemeClr w14:val="tx1"/>
            </w14:solidFill>
          </w14:textFill>
        </w:rPr>
        <w:t>第五节 建设宜居宜业和美乡村</w:t>
      </w:r>
      <w:bookmarkEnd w:id="142"/>
      <w:bookmarkEnd w:id="143"/>
      <w:bookmarkEnd w:id="144"/>
      <w:bookmarkEnd w:id="145"/>
    </w:p>
    <w:p w14:paraId="58D5AB65">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smallCaps w:val="0"/>
          <w:color w:val="000000" w:themeColor="text1"/>
          <w:highlight w:val="none"/>
          <w14:textFill>
            <w14:solidFill>
              <w14:schemeClr w14:val="tx1"/>
            </w14:solidFill>
          </w14:textFill>
        </w:rPr>
        <w:t>深入实施乡村面貌大变样工程，提升农村基础设施完备度、人居环境舒适度，打造宜居宜业和美乡村，争创国家乡村振兴示范县。</w:t>
      </w:r>
    </w:p>
    <w:p w14:paraId="19391B89">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提升农村基础设施建设。</w:t>
      </w:r>
      <w:r>
        <w:rPr>
          <w:rFonts w:hint="eastAsia" w:ascii="Times New Roman" w:hAnsi="Times New Roman" w:cs="仿宋"/>
          <w:smallCaps w:val="0"/>
          <w:color w:val="000000" w:themeColor="text1"/>
          <w:highlight w:val="none"/>
          <w14:textFill>
            <w14:solidFill>
              <w14:schemeClr w14:val="tx1"/>
            </w14:solidFill>
          </w14:textFill>
        </w:rPr>
        <w:t xml:space="preserve">有序实施农村基础设施提档升级，提高农村路网通达深度和互联互通水平，加快推进城乡交通一体化。强化农村供水保障，推进城乡供水一体化，实施水质提升专项行动。巩固提升农村电网，积极发展农村清洁能源。提升农房质量安全，持续开展危房排查改造和农房抗震改造，推动建设现代宜居农房。全面推进乡村新基建，加快农村通信线杆治理改造，实现城乡网络“同网同速”，稳步推进农村5G网络建设。  </w:t>
      </w:r>
    </w:p>
    <w:p w14:paraId="785FC720">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开展农村人居环境整治提升行动。</w:t>
      </w:r>
      <w:r>
        <w:rPr>
          <w:rFonts w:hint="eastAsia" w:ascii="Times New Roman" w:hAnsi="Times New Roman" w:cs="仿宋"/>
          <w:smallCaps w:val="0"/>
          <w:color w:val="000000" w:themeColor="text1"/>
          <w:highlight w:val="none"/>
          <w14:textFill>
            <w14:solidFill>
              <w14:schemeClr w14:val="tx1"/>
            </w14:solidFill>
          </w14:textFill>
        </w:rPr>
        <w:t>学习运用“千万工程”经验，深入开展村庄清洁行动，加强生活垃圾治理和农业生产废弃物资源化利用。因地制宜推进农村厕所革命，以乡镇驻地、中心村为重点分类分批次开展生活污水治理。提升畜禽粪污资源化利用水平，推广“种养结合、农牧循环”绿色模式。实施国土绿化美化行动，加大村屯绿化力度，推动乡村从“干净整洁”向“美丽宜居”转变。到2030年，中心村15分钟乡村社区生活圈实现全覆盖，村庄自来水普及率达100%，农民群众对农村人居环境满意度显著提高。</w:t>
      </w:r>
    </w:p>
    <w:p w14:paraId="6D43456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推进乡村治理体系现代化。</w:t>
      </w:r>
      <w:r>
        <w:rPr>
          <w:rFonts w:hint="eastAsia" w:ascii="Times New Roman" w:hAnsi="Times New Roman" w:cs="仿宋"/>
          <w:smallCaps w:val="0"/>
          <w:color w:val="000000" w:themeColor="text1"/>
          <w:highlight w:val="none"/>
          <w14:textFill>
            <w14:solidFill>
              <w14:schemeClr w14:val="tx1"/>
            </w14:solidFill>
          </w14:textFill>
        </w:rPr>
        <w:t>坚持党建引领，深化新时代“枫桥经验”公主岭实践，健全自治、法治、德治“三治融合”的乡村治理体系，完善社会矛盾纠纷多元预防调处化解机制。实施文明乡风建设行动，统筹推进思想道德教育、移风易俗、诚信建设，培育文明和谐、向上向善的乡村新风尚。到2030年，“三治融合”治理体系更加成熟定型，乡风文明水平持续提升，形成一批可复制、可推广的基层治理典型模式。</w:t>
      </w:r>
    </w:p>
    <w:p w14:paraId="71C92EC1">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eastAsia="仿宋_GB2312" w:cs="仿宋_GB2312"/>
          <w:b/>
          <w:bCs/>
          <w:smallCaps w:val="0"/>
          <w:color w:val="000000" w:themeColor="text1"/>
          <w:highlight w:val="none"/>
          <w14:textFill>
            <w14:solidFill>
              <w14:schemeClr w14:val="tx1"/>
            </w14:solidFill>
          </w14:textFill>
        </w:rPr>
      </w:pPr>
      <w:bookmarkStart w:id="146" w:name="_Toc1082"/>
      <w:bookmarkStart w:id="147" w:name="_Toc19060"/>
      <w:bookmarkStart w:id="148" w:name="_Toc10762"/>
      <w:bookmarkStart w:id="149" w:name="_Toc14109"/>
      <w:r>
        <w:rPr>
          <w:rFonts w:hint="eastAsia" w:ascii="Times New Roman" w:hAnsi="Times New Roman"/>
          <w:smallCaps w:val="0"/>
          <w:color w:val="000000" w:themeColor="text1"/>
          <w:highlight w:val="none"/>
          <w14:textFill>
            <w14:solidFill>
              <w14:schemeClr w14:val="tx1"/>
            </w14:solidFill>
          </w14:textFill>
        </w:rPr>
        <w:t>第六节 推进农业农村改革</w:t>
      </w:r>
      <w:bookmarkEnd w:id="146"/>
      <w:bookmarkEnd w:id="147"/>
      <w:bookmarkEnd w:id="148"/>
      <w:bookmarkEnd w:id="149"/>
    </w:p>
    <w:p w14:paraId="53B986DF">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巩固和完善农村基本经营制度。</w:t>
      </w:r>
      <w:r>
        <w:rPr>
          <w:rFonts w:hint="eastAsia" w:ascii="Times New Roman" w:hAnsi="Times New Roman" w:cs="仿宋"/>
          <w:smallCaps w:val="0"/>
          <w:color w:val="000000" w:themeColor="text1"/>
          <w:highlight w:val="none"/>
          <w14:textFill>
            <w14:solidFill>
              <w14:schemeClr w14:val="tx1"/>
            </w14:solidFill>
          </w14:textFill>
        </w:rPr>
        <w:t>坚持“大稳定、小调整”，稳妥推进第二轮土地承包到期后再延长三十年试点。在依法依规、尊重农民意愿基础上，以稳定承包权、放活经营权为主线，通过流转、互换、托管等方式促进土地适度规模经营，提高耕地利用效率。健全农村土地流转管理服务体系，探索建立农户依法自愿有偿退出承包地的机制与配套保障措施。</w:t>
      </w:r>
    </w:p>
    <w:p w14:paraId="38C55A9C">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深化农村集体“三资”管理专项治理。</w:t>
      </w:r>
      <w:r>
        <w:rPr>
          <w:rFonts w:hint="eastAsia" w:ascii="Times New Roman" w:hAnsi="Times New Roman" w:cs="仿宋"/>
          <w:smallCaps w:val="0"/>
          <w:color w:val="000000" w:themeColor="text1"/>
          <w:highlight w:val="none"/>
          <w14:textFill>
            <w14:solidFill>
              <w14:schemeClr w14:val="tx1"/>
            </w14:solidFill>
          </w14:textFill>
        </w:rPr>
        <w:t>全面推广“吉农经管”平台应用，实现农村集体资金、资产、资源的信息化、智能化管理。推动农村集体资产资源流转全部纳入全省统一的农村产权交易平台，对符合产权流转条件的资产、资源做到应进必进。多元化盘活闲置校舍、厂房、宅基地等资源，发展仓储物流、乡村车间、民宿康养等业态。创新投入机制，探索乡村振兴衔接资金和农业产业资金跨区域择优入股优质项目。</w:t>
      </w:r>
    </w:p>
    <w:p w14:paraId="360662DD">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因地制宜发展新型农村集体经济。</w:t>
      </w:r>
      <w:r>
        <w:rPr>
          <w:rFonts w:hint="eastAsia" w:ascii="Times New Roman" w:hAnsi="Times New Roman" w:cs="仿宋"/>
          <w:smallCaps w:val="0"/>
          <w:color w:val="000000" w:themeColor="text1"/>
          <w:highlight w:val="none"/>
          <w14:textFill>
            <w14:solidFill>
              <w14:schemeClr w14:val="tx1"/>
            </w14:solidFill>
          </w14:textFill>
        </w:rPr>
        <w:t>立足区位、产业、人才优势，因地制宜发展多种形式集体经济，鼓励农村集体经济组织参与土地流转、托管等服务。深化村党组织领办合作社，加强规范化建设与财务监管，支持合作社发展特色种养、农产品加工、乡村旅游、农业服务等稳定收益项目。积极发展资源开发、资产经营、生产加工、社会服务等新型集体经济，健全产权清晰、分配合理的运行机制，保障农民财产权益。围绕交通节点和集镇周边村，规划建设区域性农产品交易集散地及冷链仓储设施。</w:t>
      </w:r>
    </w:p>
    <w:p w14:paraId="3BA3A739">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eastAsia="楷体_GB2312" w:cs="楷体_GB2312"/>
          <w:smallCaps w:val="0"/>
          <w:color w:val="000000" w:themeColor="text1"/>
          <w:highlight w:val="none"/>
          <w14:textFill>
            <w14:solidFill>
              <w14:schemeClr w14:val="tx1"/>
            </w14:solidFill>
          </w14:textFill>
        </w:rPr>
      </w:pPr>
      <w:bookmarkStart w:id="150" w:name="_Toc6863"/>
      <w:bookmarkStart w:id="151" w:name="_Toc25541"/>
      <w:bookmarkStart w:id="152" w:name="_Toc31297"/>
      <w:bookmarkStart w:id="153" w:name="_Toc23728"/>
      <w:r>
        <w:rPr>
          <w:rFonts w:hint="eastAsia" w:ascii="Times New Roman" w:hAnsi="Times New Roman"/>
          <w:smallCaps w:val="0"/>
          <w:color w:val="000000" w:themeColor="text1"/>
          <w:highlight w:val="none"/>
          <w14:textFill>
            <w14:solidFill>
              <w14:schemeClr w14:val="tx1"/>
            </w14:solidFill>
          </w14:textFill>
        </w:rPr>
        <w:t>第七节 巩固拓展脱贫攻坚成果</w:t>
      </w:r>
      <w:bookmarkEnd w:id="150"/>
      <w:bookmarkEnd w:id="151"/>
      <w:bookmarkEnd w:id="152"/>
      <w:bookmarkEnd w:id="153"/>
    </w:p>
    <w:p w14:paraId="68F8080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深入落实防止返贫监测帮扶机制。</w:t>
      </w:r>
      <w:r>
        <w:rPr>
          <w:rFonts w:hint="eastAsia" w:ascii="Times New Roman" w:hAnsi="Times New Roman" w:cs="仿宋"/>
          <w:smallCaps w:val="0"/>
          <w:color w:val="000000" w:themeColor="text1"/>
          <w:szCs w:val="32"/>
          <w:highlight w:val="none"/>
          <w14:textFill>
            <w14:solidFill>
              <w14:schemeClr w14:val="tx1"/>
            </w14:solidFill>
          </w14:textFill>
        </w:rPr>
        <w:t>落实线上线下相结合的常态化开展动态监测，及时将有返贫致贫风险的农户纳入监测对象，实施精准帮扶，坚决防止出现规模性返贫。统筹协调</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三保障</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及安全饮水和其他相关行业部门，建立定期会商工作机制。切实防范因</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三保障</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及安全饮水问题出现规模性返贫。全力促进脱贫人口稳定增收。推进落实常态化防止返贫致贫帮扶对象精准帮扶，动态管理，实施帮扶产业项目提升行动。深化庭院经济、小额信贷、帮扶经营主体奖补、消费帮扶等增收举措。落实“四个一批”要求，推动各类资源和帮扶措施向产业发展。强化全过程绩效管理，按照巩固、升级、盘活、调整的原则，加快补上技术、设施、营销等短板，增强联农带农效益，推进帮扶产业高质量发展。培育双百双千乡村工匠，合理开发公益性岗位。推动衔接项目稳定可持续运行，确保脱贫户产业项目分红增收全覆盖。</w:t>
      </w:r>
    </w:p>
    <w:p w14:paraId="15D57A95">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smallCaps w:val="0"/>
          <w:color w:val="000000" w:themeColor="text1"/>
          <w:highlight w:val="none"/>
          <w14:textFill>
            <w14:solidFill>
              <w14:schemeClr w14:val="tx1"/>
            </w14:solidFill>
          </w14:textFill>
        </w:rPr>
      </w:pPr>
      <w:bookmarkStart w:id="154" w:name="_Toc17875"/>
      <w:bookmarkStart w:id="155" w:name="_Toc4801"/>
      <w:bookmarkStart w:id="156" w:name="_Toc19628"/>
      <w:bookmarkStart w:id="157" w:name="_Toc16435"/>
      <w:r>
        <w:rPr>
          <w:rFonts w:hint="eastAsia" w:ascii="Times New Roman" w:hAnsi="Times New Roman"/>
          <w:smallCaps w:val="0"/>
          <w:color w:val="000000" w:themeColor="text1"/>
          <w:highlight w:val="none"/>
          <w14:textFill>
            <w14:solidFill>
              <w14:schemeClr w14:val="tx1"/>
            </w14:solidFill>
          </w14:textFill>
        </w:rPr>
        <w:t>第五章 建设现代化人民城市，打造长春</w:t>
      </w:r>
      <w:r>
        <w:rPr>
          <w:rFonts w:hint="eastAsia" w:ascii="Times New Roman" w:hAnsi="Times New Roman"/>
          <w:smallCaps w:val="0"/>
          <w:color w:val="000000" w:themeColor="text1"/>
          <w:highlight w:val="none"/>
          <w:lang w:val="en-US" w:eastAsia="zh-CN"/>
          <w14:textFill>
            <w14:solidFill>
              <w14:schemeClr w14:val="tx1"/>
            </w14:solidFill>
          </w14:textFill>
        </w:rPr>
        <w:t>市域</w:t>
      </w:r>
      <w:r>
        <w:rPr>
          <w:rFonts w:hint="eastAsia" w:ascii="Times New Roman" w:hAnsi="Times New Roman"/>
          <w:smallCaps w:val="0"/>
          <w:color w:val="000000" w:themeColor="text1"/>
          <w:highlight w:val="none"/>
          <w14:textFill>
            <w14:solidFill>
              <w14:schemeClr w14:val="tx1"/>
            </w14:solidFill>
          </w14:textFill>
        </w:rPr>
        <w:t>副中心</w:t>
      </w:r>
      <w:bookmarkEnd w:id="154"/>
      <w:bookmarkEnd w:id="155"/>
      <w:bookmarkEnd w:id="156"/>
      <w:bookmarkEnd w:id="157"/>
    </w:p>
    <w:p w14:paraId="6E21C31F">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smallCaps w:val="0"/>
          <w:color w:val="000000" w:themeColor="text1"/>
          <w:highlight w:val="none"/>
          <w14:textFill>
            <w14:solidFill>
              <w14:schemeClr w14:val="tx1"/>
            </w14:solidFill>
          </w14:textFill>
        </w:rPr>
      </w:pPr>
    </w:p>
    <w:p w14:paraId="7F310BCE">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优化城镇发展空间布局，加快建设创新、宜居、美丽、韧性、文明、智慧的现代化人民城市，完善提升重点镇和一般镇服务功能，形成区域协调、公平和谐、宜居宜业的城乡融合发展格局，实施城镇基础设施提升工程，建设长春</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市域</w:t>
      </w:r>
      <w:r>
        <w:rPr>
          <w:rFonts w:hint="eastAsia" w:ascii="Times New Roman" w:hAnsi="Times New Roman" w:cs="仿宋"/>
          <w:smallCaps w:val="0"/>
          <w:color w:val="000000" w:themeColor="text1"/>
          <w:szCs w:val="32"/>
          <w:highlight w:val="none"/>
          <w14:textFill>
            <w14:solidFill>
              <w14:schemeClr w14:val="tx1"/>
            </w14:solidFill>
          </w14:textFill>
        </w:rPr>
        <w:t>副中心。</w:t>
      </w:r>
    </w:p>
    <w:p w14:paraId="3472CC78">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158" w:name="_Toc29996"/>
      <w:bookmarkStart w:id="159" w:name="_Toc9951"/>
      <w:bookmarkStart w:id="160" w:name="_Toc12029"/>
      <w:bookmarkStart w:id="161" w:name="_Toc377574483"/>
      <w:bookmarkStart w:id="162" w:name="_Toc27816"/>
      <w:bookmarkStart w:id="163" w:name="_Toc30085"/>
      <w:bookmarkStart w:id="164" w:name="_Toc2883"/>
      <w:r>
        <w:rPr>
          <w:rFonts w:hint="eastAsia" w:ascii="Times New Roman" w:hAnsi="Times New Roman"/>
          <w:smallCaps w:val="0"/>
          <w:color w:val="000000" w:themeColor="text1"/>
          <w:highlight w:val="none"/>
          <w14:textFill>
            <w14:solidFill>
              <w14:schemeClr w14:val="tx1"/>
            </w14:solidFill>
          </w14:textFill>
        </w:rPr>
        <w:t>第一节 优化城镇发展整体布局</w:t>
      </w:r>
      <w:bookmarkEnd w:id="158"/>
      <w:bookmarkEnd w:id="159"/>
      <w:bookmarkEnd w:id="160"/>
      <w:bookmarkEnd w:id="161"/>
      <w:bookmarkEnd w:id="162"/>
    </w:p>
    <w:p w14:paraId="7713598F">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优化城镇发展空间布局。</w:t>
      </w:r>
      <w:r>
        <w:rPr>
          <w:rFonts w:hint="eastAsia" w:ascii="Times New Roman" w:hAnsi="Times New Roman" w:cs="仿宋"/>
          <w:smallCaps w:val="0"/>
          <w:color w:val="000000" w:themeColor="text1"/>
          <w:szCs w:val="32"/>
          <w:highlight w:val="none"/>
          <w14:textFill>
            <w14:solidFill>
              <w14:schemeClr w14:val="tx1"/>
            </w14:solidFill>
          </w14:textFill>
        </w:rPr>
        <w:t>构建“双核多点、轴带支撑”的城镇空间结构。强化公主岭主城区和范大组团区域两大核心发展极核，提升综合服务功能，促进人口和产业集聚，增强城市能级。重点建设怀德镇、杨大城子镇、秦家屯镇等中心镇，提升公共服务和农业服务能力，培育特色产业，增强人口承载力。依托长深高速、京哈高速等交通轴线，打造长深现代农业生产服务轴和长平城乡融合发展轴，积极承接长春市产业外溢，重点发展装备制造、现代农业、文化旅游、商贸物流等产业。</w:t>
      </w:r>
    </w:p>
    <w:p w14:paraId="5D3ADB8C">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推动主城区内涵式发展。</w:t>
      </w:r>
      <w:r>
        <w:rPr>
          <w:rFonts w:hint="eastAsia" w:ascii="Times New Roman" w:hAnsi="Times New Roman" w:cs="仿宋"/>
          <w:smallCaps w:val="0"/>
          <w:color w:val="000000" w:themeColor="text1"/>
          <w:szCs w:val="32"/>
          <w:highlight w:val="none"/>
          <w14:textFill>
            <w14:solidFill>
              <w14:schemeClr w14:val="tx1"/>
            </w14:solidFill>
          </w14:textFill>
        </w:rPr>
        <w:t>提升主城区综合承载能力，强化产业引领、人口集聚和公共服务核心功能。优化空间布局，建设中部活力宜居城区、岭西高品质生活区和岭东产城融合新区，打造功能协调、环境优美的现代化中等城市。统筹推进城市更新与地下空间利用，协调当前建设与长远发展，塑造特色城市风貌。坚持“精明增长、紧凑城市”理念，加强市政基础设施体系建设，协同推进现代化人民城市建设。</w:t>
      </w:r>
    </w:p>
    <w:p w14:paraId="42A115E2">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提升环长区域城市功能。</w:t>
      </w:r>
      <w:r>
        <w:rPr>
          <w:rFonts w:hint="eastAsia" w:ascii="Times New Roman" w:hAnsi="Times New Roman" w:cs="仿宋"/>
          <w:smallCaps w:val="0"/>
          <w:color w:val="000000" w:themeColor="text1"/>
          <w:szCs w:val="32"/>
          <w:highlight w:val="none"/>
          <w14:textFill>
            <w14:solidFill>
              <w14:schemeClr w14:val="tx1"/>
            </w14:solidFill>
          </w14:textFill>
        </w:rPr>
        <w:t>加快产城融合步伐，完善综合服务配套，积极承接长春城市功能外溢。大力发展特色新兴产业，增强人口吸引力，着力建设工业城、智造城和物流城。完善区域交通连接，创新合作机制，重点承接和发展装备制造、现代农业、文化旅游、商贸物流等产业。</w:t>
      </w:r>
    </w:p>
    <w:p w14:paraId="328E0E1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推进重点镇加速振兴。</w:t>
      </w:r>
      <w:r>
        <w:rPr>
          <w:rFonts w:hint="eastAsia" w:ascii="Times New Roman" w:hAnsi="Times New Roman" w:cs="仿宋"/>
          <w:smallCaps w:val="0"/>
          <w:color w:val="000000" w:themeColor="text1"/>
          <w:szCs w:val="32"/>
          <w:highlight w:val="none"/>
          <w14:textFill>
            <w14:solidFill>
              <w14:schemeClr w14:val="tx1"/>
            </w14:solidFill>
          </w14:textFill>
        </w:rPr>
        <w:t>引导重点镇集聚要素、发挥优势。支持怀德镇发展露地蔬菜、棚膜园艺和品牌农业，培育“一村一品”，弘扬怀德文化，打造都市农业和蔬菜产业集群。推动秦家屯镇实施“一稻两游”战略，建设稻米集散中心，培育荷花湿地康养和信州古城文化旅游产业。促进杨大城子镇发展绿色鲜食玉米加工，做强玉米仓储物流，壮大畜牧养殖基地，建设长春市重要的“菜篮子”基地。</w:t>
      </w:r>
    </w:p>
    <w:p w14:paraId="1C033DDD">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推动一般镇精准发展。</w:t>
      </w:r>
      <w:bookmarkEnd w:id="163"/>
      <w:bookmarkEnd w:id="164"/>
      <w:bookmarkStart w:id="165" w:name="_Toc26373"/>
      <w:bookmarkStart w:id="166" w:name="_Toc7145"/>
      <w:r>
        <w:rPr>
          <w:rFonts w:hint="eastAsia" w:ascii="Times New Roman" w:hAnsi="Times New Roman" w:cs="仿宋"/>
          <w:smallCaps w:val="0"/>
          <w:color w:val="000000" w:themeColor="text1"/>
          <w:szCs w:val="32"/>
          <w:highlight w:val="none"/>
          <w14:textFill>
            <w14:solidFill>
              <w14:schemeClr w14:val="tx1"/>
            </w14:solidFill>
          </w14:textFill>
        </w:rPr>
        <w:t>引导其他乡镇因地制宜，深化“一乡一业”“一村一品”等发展模式。支持一般乡镇联动国家农高区及省市科研机构，加速特色产业培育。有序推进中心街区更新改造，提升乡镇面貌，在肉牛、蔬菜等领域培育区域性精品集市。加强乡镇公共服务供给，引导人口向镇区集中。鼓励人口规模较小的乡镇探索高效集约的治理新模式。</w:t>
      </w:r>
    </w:p>
    <w:p w14:paraId="2BB061E2">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167" w:name="_Toc3286"/>
      <w:bookmarkStart w:id="168" w:name="_Toc20041"/>
      <w:bookmarkStart w:id="169" w:name="_Toc1927"/>
      <w:bookmarkStart w:id="170" w:name="_Toc18746"/>
      <w:r>
        <w:rPr>
          <w:rFonts w:hint="eastAsia" w:ascii="Times New Roman" w:hAnsi="Times New Roman"/>
          <w:smallCaps w:val="0"/>
          <w:color w:val="000000" w:themeColor="text1"/>
          <w:highlight w:val="none"/>
          <w14:textFill>
            <w14:solidFill>
              <w14:schemeClr w14:val="tx1"/>
            </w14:solidFill>
          </w14:textFill>
        </w:rPr>
        <w:t>第二节 全力推进城市更新</w:t>
      </w:r>
      <w:bookmarkEnd w:id="165"/>
      <w:bookmarkEnd w:id="166"/>
      <w:bookmarkEnd w:id="167"/>
      <w:bookmarkEnd w:id="168"/>
      <w:bookmarkEnd w:id="169"/>
      <w:bookmarkEnd w:id="170"/>
    </w:p>
    <w:p w14:paraId="291621F1">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推动街区社区加快更新。</w:t>
      </w:r>
      <w:r>
        <w:rPr>
          <w:rFonts w:hint="eastAsia" w:ascii="Times New Roman" w:hAnsi="Times New Roman" w:cs="仿宋"/>
          <w:smallCaps w:val="0"/>
          <w:color w:val="000000" w:themeColor="text1"/>
          <w:szCs w:val="32"/>
          <w:highlight w:val="none"/>
          <w14:textFill>
            <w14:solidFill>
              <w14:schemeClr w14:val="tx1"/>
            </w14:solidFill>
          </w14:textFill>
        </w:rPr>
        <w:t>推进老旧街区、厂区及城中村更新改造，实现功能重构、业态升级与活力再生。实施保障性住房小区配套基础设施提升工程，完善社区综合服务、公共卫生及养老、托幼、助餐等专项服务设施，建设“完整社区”。提升商业步行街和传统商圈，优化交通组织，丰富业态，促进文商旅融合。探索市场化模式推动老旧厂区更新，加强工业遗产保护利用，盘活闲置低效资产，植入新功能新业态。推动火车站等重点区域与周边街区联动更新、一体化发展。</w:t>
      </w:r>
    </w:p>
    <w:p w14:paraId="5F31B270">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优化市政交通设施。</w:t>
      </w:r>
      <w:r>
        <w:rPr>
          <w:rFonts w:hint="eastAsia" w:ascii="Times New Roman" w:hAnsi="Times New Roman" w:cs="仿宋"/>
          <w:smallCaps w:val="0"/>
          <w:color w:val="000000" w:themeColor="text1"/>
          <w:szCs w:val="32"/>
          <w:highlight w:val="none"/>
          <w14:textFill>
            <w14:solidFill>
              <w14:schemeClr w14:val="tx1"/>
            </w14:solidFill>
          </w14:textFill>
        </w:rPr>
        <w:t>推进新风街、国文大街等主干道路升级改造，提升路网整体通行能力。系统建设城市慢行网络，完善机动车、非机动车、人行“三行系统”。增强城市综合客运枢纽服务功能，优化公交线网布局与站点设置，新建及改造一批公共停车场，全面提升公共交通覆盖率和出行便利性。</w:t>
      </w:r>
    </w:p>
    <w:p w14:paraId="14CF4650">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提升城镇供水能力。</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推进老旧供水管网智能化改造，构建地下管网全生命周期安全监测体系。加快智慧水务建设，推动供排水系统数字化、智能化升级，提升运行效率与管理水平。实施松花江原水城区全覆盖工程，推进老旧水厂改造与水质化验室标准化建设，增强常规供水保障能力。谋划并推动城市供水管网漏损治理项目落地。到2030年，新建供水一次管网8.26公里，实现城区供水水质100%达标，城镇供水管网漏损率控制在10%以下。</w:t>
      </w:r>
    </w:p>
    <w:p w14:paraId="74A0CE4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提升排水防涝能力。</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实施城区排水管网补短板工程，完成11段市政道路雨污分流改造，全面整治雨污混接错接问题。推进乡镇供排水设施与城区管网标准化衔接，“十五五”期间新建市政雨水管网3公里。改建污水收集管网，推动中水回用项目建设。提升污水治理效能，加快污水处理厂提标改造，推进污泥资源化利用，加快构建现代化、全流程的污水治理与污泥处理体系。</w:t>
      </w:r>
    </w:p>
    <w:p w14:paraId="42418B40">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推动供热优质资源整合。</w:t>
      </w:r>
      <w:r>
        <w:rPr>
          <w:rFonts w:hint="eastAsia" w:ascii="Times New Roman" w:hAnsi="Times New Roman" w:cs="仿宋"/>
          <w:smallCaps w:val="0"/>
          <w:color w:val="000000" w:themeColor="text1"/>
          <w:szCs w:val="32"/>
          <w:highlight w:val="none"/>
          <w14:textFill>
            <w14:solidFill>
              <w14:schemeClr w14:val="tx1"/>
            </w14:solidFill>
          </w14:textFill>
        </w:rPr>
        <w:t>以热电联产为主导热源，加快构建城区“一城一网”供热体系，全面推进老旧供热管网更新改造，力争完成311公里改造任务。完善燃气储气设施，推进燃气管网新建与维护，增强天然气供应与应急保障能力。强化公主岭市天然气管网与长春都市圈</w:t>
      </w:r>
      <w:r>
        <w:rPr>
          <w:rFonts w:hint="eastAsia" w:ascii="Times New Roman" w:hAnsi="Times New Roman" w:cs="仿宋"/>
          <w:smallCaps w:val="0"/>
          <w:color w:val="000000" w:themeColor="text1"/>
          <w:szCs w:val="32"/>
          <w:highlight w:val="none"/>
          <w:lang w:eastAsia="zh-CN"/>
          <w14:textFill>
            <w14:solidFill>
              <w14:schemeClr w14:val="tx1"/>
            </w14:solidFill>
          </w14:textFill>
        </w:rPr>
        <w:t>环网</w:t>
      </w:r>
      <w:r>
        <w:rPr>
          <w:rFonts w:hint="eastAsia" w:ascii="Times New Roman" w:hAnsi="Times New Roman" w:cs="仿宋"/>
          <w:smallCaps w:val="0"/>
          <w:color w:val="000000" w:themeColor="text1"/>
          <w:szCs w:val="32"/>
          <w:highlight w:val="none"/>
          <w14:textFill>
            <w14:solidFill>
              <w14:schemeClr w14:val="tx1"/>
            </w14:solidFill>
          </w14:textFill>
        </w:rPr>
        <w:t xml:space="preserve">连接，持续提高乡镇燃气管网覆盖率。   </w:t>
      </w:r>
    </w:p>
    <w:p w14:paraId="1DA840C1">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推进绿地绿道系统提能提效。</w:t>
      </w:r>
      <w:r>
        <w:rPr>
          <w:rFonts w:hint="eastAsia" w:ascii="Times New Roman" w:hAnsi="Times New Roman" w:cs="仿宋"/>
          <w:smallCaps w:val="0"/>
          <w:color w:val="000000" w:themeColor="text1"/>
          <w:szCs w:val="32"/>
          <w:highlight w:val="none"/>
          <w14:textFill>
            <w14:solidFill>
              <w14:schemeClr w14:val="tx1"/>
            </w14:solidFill>
          </w14:textFill>
        </w:rPr>
        <w:t>优化城市绿地空间布局，加大公园、广场、道路绿化带等项目建设力度，持续增加城市绿量，提高绿地率。到2030年，实现人均公园绿地面积8平方米，公园绿地服务半径覆盖率达到70%，人均拥有绿道长度0.8千米。</w:t>
      </w:r>
    </w:p>
    <w:p w14:paraId="3293EBAB">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highlight w:val="none"/>
          <w14:textFill>
            <w14:solidFill>
              <w14:schemeClr w14:val="tx1"/>
            </w14:solidFill>
          </w14:textFill>
        </w:rPr>
        <w:t>推动城市精细化管理。</w:t>
      </w:r>
      <w:r>
        <w:rPr>
          <w:rFonts w:hint="eastAsia" w:ascii="Times New Roman" w:hAnsi="Times New Roman" w:cs="仿宋"/>
          <w:smallCaps w:val="0"/>
          <w:color w:val="000000" w:themeColor="text1"/>
          <w:szCs w:val="32"/>
          <w:highlight w:val="none"/>
          <w14:textFill>
            <w14:solidFill>
              <w14:schemeClr w14:val="tx1"/>
            </w14:solidFill>
          </w14:textFill>
        </w:rPr>
        <w:t>加强城市体检和现代化人民城市建设相结合，建设完整社区。推动智慧城市建设，推进建设城镇排水防涝改造工程数字化平台、“三农”信息服务中心、生态环境智慧监控系统工程，</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逐步推行</w:t>
      </w:r>
      <w:r>
        <w:rPr>
          <w:rFonts w:hint="eastAsia" w:ascii="Times New Roman" w:hAnsi="Times New Roman" w:cs="仿宋"/>
          <w:smallCaps w:val="0"/>
          <w:color w:val="000000" w:themeColor="text1"/>
          <w:szCs w:val="32"/>
          <w:highlight w:val="none"/>
          <w14:textFill>
            <w14:solidFill>
              <w14:schemeClr w14:val="tx1"/>
            </w14:solidFill>
          </w14:textFill>
        </w:rPr>
        <w:t>城市楼宇、公共空间、地下管网等“一张图”数字化管理和城市运行一网统管。加快数字化项目建设。</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8"/>
        <w:gridCol w:w="6403"/>
      </w:tblGrid>
      <w:tr w14:paraId="24BE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061" w:type="dxa"/>
            <w:gridSpan w:val="2"/>
            <w:vAlign w:val="top"/>
          </w:tcPr>
          <w:p w14:paraId="2776F280">
            <w:pPr>
              <w:pStyle w:val="4"/>
              <w:ind w:firstLine="48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7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城市更新重点项目</w:t>
            </w:r>
          </w:p>
        </w:tc>
      </w:tr>
      <w:tr w14:paraId="09A3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8" w:type="dxa"/>
            <w:vAlign w:val="center"/>
          </w:tcPr>
          <w:p w14:paraId="2154A591">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p>
          <w:p w14:paraId="47BB0709">
            <w:pPr>
              <w:pStyle w:val="12"/>
              <w:snapToGrid w:val="0"/>
              <w:spacing w:line="340" w:lineRule="exact"/>
              <w:ind w:firstLine="0" w:firstLineChars="0"/>
              <w:jc w:val="center"/>
              <w:rPr>
                <w:rFonts w:hint="eastAsia"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老旧街区、社区更新</w:t>
            </w:r>
          </w:p>
          <w:p w14:paraId="1CB4D047">
            <w:pPr>
              <w:pStyle w:val="12"/>
              <w:snapToGrid w:val="0"/>
              <w:spacing w:line="340" w:lineRule="exact"/>
              <w:ind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重点项目</w:t>
            </w:r>
          </w:p>
        </w:tc>
        <w:tc>
          <w:tcPr>
            <w:tcW w:w="6403" w:type="dxa"/>
          </w:tcPr>
          <w:p w14:paraId="753F3F45">
            <w:pPr>
              <w:pStyle w:val="4"/>
              <w:spacing w:line="340" w:lineRule="exact"/>
              <w:ind w:firstLine="0" w:firstLineChars="0"/>
              <w:rPr>
                <w:rFonts w:ascii="Times New Roman" w:hAnsi="Times New Roman"/>
                <w:smallCaps w:val="0"/>
              </w:rPr>
            </w:pPr>
            <w:r>
              <w:rPr>
                <w:rFonts w:hint="eastAsia" w:ascii="Times New Roman" w:hAnsi="Times New Roman"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cs="仿宋"/>
                <w:smallCaps w:val="0"/>
                <w:color w:val="000000" w:themeColor="text1"/>
                <w:sz w:val="24"/>
                <w:szCs w:val="24"/>
                <w:highlight w:val="none"/>
                <w14:textFill>
                  <w14:solidFill>
                    <w14:schemeClr w14:val="tx1"/>
                  </w14:solidFill>
                </w14:textFill>
              </w:rPr>
              <w:t>城镇老旧小区改造、老旧小区居民楼屋面防水和保温面层修复改造及衔接市政道路、中唐新城、诚冠颐和府、圣泰鑫宇城市棚户区改造等项目建设</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cs="仿宋"/>
                <w:smallCaps w:val="0"/>
                <w:color w:val="000000" w:themeColor="text1"/>
                <w:sz w:val="24"/>
                <w:szCs w:val="24"/>
                <w:highlight w:val="none"/>
                <w14:textFill>
                  <w14:solidFill>
                    <w14:schemeClr w14:val="tx1"/>
                  </w14:solidFill>
                </w14:textFill>
              </w:rPr>
              <w:t>高层住宅消防水系统维修及设备更新、老旧小区结构补强和破损部位修复和城市危房改造等项目建设。</w:t>
            </w:r>
          </w:p>
        </w:tc>
      </w:tr>
      <w:tr w14:paraId="72C9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8" w:type="dxa"/>
            <w:vAlign w:val="center"/>
          </w:tcPr>
          <w:p w14:paraId="0DF2FCCD">
            <w:pPr>
              <w:pStyle w:val="12"/>
              <w:snapToGrid w:val="0"/>
              <w:spacing w:line="340" w:lineRule="exact"/>
              <w:ind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市政基础设施更新改造项目</w:t>
            </w:r>
          </w:p>
        </w:tc>
        <w:tc>
          <w:tcPr>
            <w:tcW w:w="6403" w:type="dxa"/>
          </w:tcPr>
          <w:p w14:paraId="61B23BE1">
            <w:pPr>
              <w:pStyle w:val="4"/>
              <w:spacing w:line="340" w:lineRule="exact"/>
              <w:ind w:firstLine="0" w:firstLineChars="0"/>
              <w:rPr>
                <w:rFonts w:hint="default" w:ascii="Times New Roman" w:hAnsi="Times New Roman" w:eastAsia="仿宋"/>
                <w:smallCaps w:val="0"/>
                <w:color w:val="000000" w:themeColor="text1"/>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cs="仿宋"/>
                <w:smallCaps w:val="0"/>
                <w:color w:val="000000" w:themeColor="text1"/>
                <w:sz w:val="24"/>
                <w:szCs w:val="24"/>
                <w:highlight w:val="none"/>
                <w14:textFill>
                  <w14:solidFill>
                    <w14:schemeClr w14:val="tx1"/>
                  </w14:solidFill>
                </w14:textFill>
              </w:rPr>
              <w:t>城镇老旧小区改造配套基础设施、新型环卫运输车辆及垃圾转运设施设备更新、解放路（639）公铁立交桥、城区排水管网补短板</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cs="仿宋"/>
                <w:smallCaps w:val="0"/>
                <w:color w:val="000000" w:themeColor="text1"/>
                <w:sz w:val="24"/>
                <w:szCs w:val="24"/>
                <w:highlight w:val="none"/>
                <w:lang w:val="en-US" w:eastAsia="zh-CN"/>
                <w14:textFill>
                  <w14:solidFill>
                    <w14:schemeClr w14:val="tx1"/>
                  </w14:solidFill>
                </w14:textFill>
              </w:rPr>
              <w:t>岭东污水处理厂（二期）等项目建设。</w:t>
            </w:r>
          </w:p>
        </w:tc>
      </w:tr>
    </w:tbl>
    <w:p w14:paraId="4641C6C2">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171" w:name="_Toc260"/>
      <w:bookmarkStart w:id="172" w:name="_Toc3767"/>
      <w:bookmarkStart w:id="173" w:name="_Toc22564"/>
      <w:bookmarkStart w:id="174" w:name="_Toc21435"/>
      <w:r>
        <w:rPr>
          <w:rFonts w:hint="eastAsia" w:ascii="Times New Roman" w:hAnsi="Times New Roman"/>
          <w:smallCaps w:val="0"/>
          <w:color w:val="000000" w:themeColor="text1"/>
          <w:highlight w:val="none"/>
          <w14:textFill>
            <w14:solidFill>
              <w14:schemeClr w14:val="tx1"/>
            </w14:solidFill>
          </w14:textFill>
        </w:rPr>
        <w:t>第三节 打造现代化基础设施体系</w:t>
      </w:r>
      <w:bookmarkEnd w:id="171"/>
      <w:bookmarkEnd w:id="172"/>
      <w:bookmarkEnd w:id="173"/>
      <w:bookmarkEnd w:id="174"/>
    </w:p>
    <w:p w14:paraId="67618E55">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交通基础设施。</w:t>
      </w:r>
      <w:r>
        <w:rPr>
          <w:rFonts w:hint="eastAsia" w:ascii="Times New Roman" w:hAnsi="Times New Roman" w:cs="仿宋"/>
          <w:smallCaps w:val="0"/>
          <w:color w:val="000000" w:themeColor="text1"/>
          <w:szCs w:val="32"/>
          <w:highlight w:val="none"/>
          <w14:textFill>
            <w14:solidFill>
              <w14:schemeClr w14:val="tx1"/>
            </w14:solidFill>
          </w14:textFill>
        </w:rPr>
        <w:t>加快推进对外连接线建设，加密内部交通网络，强化与周边地区的互联互通，全面提升路网承载能力和通行效率。实施国省干线强链工程，重点推进长春半小时环线西环段（公主岭段）、国道扎赉特旗至公主岭G608（双城堡镇经莲花山经双龙镇至公主岭段）、国道牙四线（G232）桑树台镇至于船口桥段改建、秦八线东辽河段贯通工程等项目，配合完成长春都市圈环线高速公路伊通至公主岭至农安段建设，协调推动新红旗大街、富岭路至汽车大路全线贯通。推动传统客运站转型升级，加快客运班线公交化改造，深化“客货邮”融合发展，建设集公交客运、物流分拨、公铁换乘于一体的综合交通枢纽。</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到2030年，</w:t>
      </w:r>
      <w:r>
        <w:rPr>
          <w:rFonts w:hint="eastAsia" w:ascii="Times New Roman" w:hAnsi="Times New Roman" w:cs="仿宋"/>
          <w:smallCaps w:val="0"/>
          <w:color w:val="000000" w:themeColor="text1"/>
          <w:szCs w:val="32"/>
          <w:highlight w:val="none"/>
          <w14:textFill>
            <w14:solidFill>
              <w14:schemeClr w14:val="tx1"/>
            </w14:solidFill>
          </w14:textFill>
        </w:rPr>
        <w:t>全面完成农村公路次差路改造，年均大修超期服役道路150公里，保持农村公路优良中等路率在95%以上。</w:t>
      </w:r>
    </w:p>
    <w:p w14:paraId="111E0ACF">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水利基础设施。</w:t>
      </w:r>
      <w:r>
        <w:rPr>
          <w:rFonts w:hint="eastAsia" w:ascii="Times New Roman" w:hAnsi="Times New Roman" w:cs="仿宋"/>
          <w:smallCaps w:val="0"/>
          <w:color w:val="000000" w:themeColor="text1"/>
          <w:szCs w:val="32"/>
          <w:highlight w:val="none"/>
          <w14:textFill>
            <w14:solidFill>
              <w14:schemeClr w14:val="tx1"/>
            </w14:solidFill>
          </w14:textFill>
        </w:rPr>
        <w:t>提升农村供水保障能力，持续推进农村供水保障工程，推动城乡供水一体化和规模化发展。加强农村饮用水水源保护，提升水质安全监管水平。大规模推进农田水利建设，实施中型灌区续建配套与节水改造，重点推进秦家屯灌区、南崴子灌区等项目，完善灌排与信息化设施，增强粮食稳产高产能力。完善城乡防洪减灾体系，推进主要江河防洪工程建设，加快中小河流治理，重点实施二道河、小辽河、翁克河等治理工程，对大岭、卡伦、范家屯、双建、小辽河等涝区进行系统治理，实现涝区治理全覆盖。提升城市防洪排涝能力，协同推进新凯河综合治理，加快实施东辽河公主岭段整体提升工程。推进病险水库、水闸、泵站除险加固，加快实施杨大城子水库防灾减灾能力提升、卡伦水库水源地除险加固及综合治理工程。</w:t>
      </w:r>
    </w:p>
    <w:p w14:paraId="5CE02D0D">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能源基础设施。</w:t>
      </w:r>
      <w:r>
        <w:rPr>
          <w:rFonts w:hint="eastAsia" w:ascii="Times New Roman" w:hAnsi="Times New Roman" w:cs="仿宋"/>
          <w:smallCaps w:val="0"/>
          <w:color w:val="000000" w:themeColor="text1"/>
          <w:szCs w:val="32"/>
          <w:highlight w:val="none"/>
          <w14:textFill>
            <w14:solidFill>
              <w14:schemeClr w14:val="tx1"/>
            </w14:solidFill>
          </w14:textFill>
        </w:rPr>
        <w:t>推进油气设施建设。有序推进油气设施现代化改造，谋划建设油气储备设施项目，完善天然气供气设施空间布局。</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鼓励</w:t>
      </w:r>
      <w:r>
        <w:rPr>
          <w:rFonts w:hint="eastAsia" w:ascii="Times New Roman" w:hAnsi="Times New Roman" w:cs="仿宋"/>
          <w:smallCaps w:val="0"/>
          <w:color w:val="000000" w:themeColor="text1"/>
          <w:szCs w:val="32"/>
          <w:highlight w:val="none"/>
          <w14:textFill>
            <w14:solidFill>
              <w14:schemeClr w14:val="tx1"/>
            </w14:solidFill>
          </w14:textFill>
        </w:rPr>
        <w:t>社会资本参与油气储备库、液化天然气接收站等基础设施建设，确保地方政府油气应急储备天数从3天延长至5天。加强涉煤设施管理。全面加强三大经济主战场以及各乡镇煤场设施改造，确保煤炭供应安全。鼓励采用封闭式皮带廊道、管道、管状带式输送机和电动、氢能等新能源车辆短距离运输煤炭。提高生产、流通和消费各环节储煤设施清洁环保水平。推动煤炭运输、仓储、加工配送一体化融合发展，谋划建设大型煤炭储配中心。推动电网升级改造。加快智能电网建设，新建1座220千伏变电站、4座66千伏变电站，扩建8座主变电站，推动10千伏农网改造，建设公主岭增量配电网，提高供电可靠率。加快分布式光伏开发建设，提高新能源供电比例。</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完善</w:t>
      </w:r>
      <w:r>
        <w:rPr>
          <w:rFonts w:hint="eastAsia" w:ascii="Times New Roman" w:hAnsi="Times New Roman" w:cs="仿宋"/>
          <w:smallCaps w:val="0"/>
          <w:color w:val="000000" w:themeColor="text1"/>
          <w:szCs w:val="32"/>
          <w:highlight w:val="none"/>
          <w14:textFill>
            <w14:solidFill>
              <w14:schemeClr w14:val="tx1"/>
            </w14:solidFill>
          </w14:textFill>
        </w:rPr>
        <w:t>充换电基础设施</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建设</w:t>
      </w:r>
      <w:r>
        <w:rPr>
          <w:rFonts w:hint="eastAsia" w:ascii="Times New Roman" w:hAnsi="Times New Roman" w:cs="仿宋"/>
          <w:smallCaps w:val="0"/>
          <w:color w:val="000000" w:themeColor="text1"/>
          <w:szCs w:val="32"/>
          <w:highlight w:val="none"/>
          <w14:textFill>
            <w14:solidFill>
              <w14:schemeClr w14:val="tx1"/>
            </w14:solidFill>
          </w14:textFill>
        </w:rPr>
        <w:t>。构建以专用充电基础设施为主体，以公用充电基础设施为辅助，以充换电站为补充的电动汽车充换电网络，打造布局合理、安全便捷、智能高效的高质量充换电基础设施体系</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到2030年</w:t>
      </w:r>
      <w:r>
        <w:rPr>
          <w:rFonts w:hint="eastAsia" w:ascii="Times New Roman" w:hAnsi="Times New Roman" w:cs="仿宋"/>
          <w:smallCaps w:val="0"/>
          <w:color w:val="000000" w:themeColor="text1"/>
          <w:szCs w:val="32"/>
          <w:highlight w:val="none"/>
          <w14:textFill>
            <w14:solidFill>
              <w14:schemeClr w14:val="tx1"/>
            </w14:solidFill>
          </w14:textFill>
        </w:rPr>
        <w:t>，建设完成充电站100座，换电站5座。</w:t>
      </w:r>
    </w:p>
    <w:p w14:paraId="2A50B893">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bookmarkStart w:id="175" w:name="_Toc32449"/>
      <w:r>
        <w:rPr>
          <w:rFonts w:hint="eastAsia" w:ascii="Times New Roman" w:hAnsi="Times New Roman" w:cs="仿宋"/>
          <w:b/>
          <w:bCs/>
          <w:smallCaps w:val="0"/>
          <w:color w:val="000000" w:themeColor="text1"/>
          <w:szCs w:val="32"/>
          <w:highlight w:val="none"/>
          <w14:textFill>
            <w14:solidFill>
              <w14:schemeClr w14:val="tx1"/>
            </w14:solidFill>
          </w14:textFill>
        </w:rPr>
        <w:t>新型基础设施</w:t>
      </w:r>
      <w:bookmarkEnd w:id="175"/>
      <w:r>
        <w:rPr>
          <w:rFonts w:hint="eastAsia" w:ascii="Times New Roman" w:hAnsi="Times New Roman" w:cs="仿宋"/>
          <w:b/>
          <w:bCs/>
          <w:smallCaps w:val="0"/>
          <w:color w:val="000000" w:themeColor="text1"/>
          <w:szCs w:val="32"/>
          <w:highlight w:val="none"/>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完善数字基础设施，持续加大5G网络等投入，推动5G技术在产业园区、交通枢纽、公共服务场所普及应用。加快物联网公共服务平台建设，构建集约高效的城市物联感知网络。布局科技创新基础设施，支持国家农高区围绕玉米种业新质生产力需求，谋划建设无人农场、智慧育种平台、新型种质资源库等设施，吸引国家及省级实验室、高校院所来岭布局实验装置。鼓励两个</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省级开发</w:t>
      </w:r>
      <w:r>
        <w:rPr>
          <w:rFonts w:hint="eastAsia" w:ascii="Times New Roman" w:hAnsi="Times New Roman" w:cs="仿宋"/>
          <w:smallCaps w:val="0"/>
          <w:color w:val="000000" w:themeColor="text1"/>
          <w:szCs w:val="32"/>
          <w:highlight w:val="none"/>
          <w14:textFill>
            <w14:solidFill>
              <w14:schemeClr w14:val="tx1"/>
            </w14:solidFill>
          </w14:textFill>
        </w:rPr>
        <w:t>区谋划科技基础设施。创新工业园区、算力设施、分布式光伏、光储充放一体化充电站等场景的绿电直连、虚拟电厂、源网荷储一体化等应用模式。</w:t>
      </w:r>
    </w:p>
    <w:p w14:paraId="1033CD32">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176" w:name="_Toc26341"/>
      <w:bookmarkStart w:id="177" w:name="_Toc32343"/>
      <w:bookmarkStart w:id="178" w:name="_Toc7732"/>
      <w:bookmarkStart w:id="179" w:name="_Toc15646"/>
      <w:r>
        <w:rPr>
          <w:rFonts w:hint="eastAsia" w:ascii="Times New Roman" w:hAnsi="Times New Roman"/>
          <w:smallCaps w:val="0"/>
          <w:color w:val="000000" w:themeColor="text1"/>
          <w:highlight w:val="none"/>
          <w14:textFill>
            <w14:solidFill>
              <w14:schemeClr w14:val="tx1"/>
            </w14:solidFill>
          </w14:textFill>
        </w:rPr>
        <w:t>第四节 推动城乡深度融合发展</w:t>
      </w:r>
      <w:bookmarkEnd w:id="176"/>
      <w:bookmarkEnd w:id="177"/>
      <w:bookmarkEnd w:id="178"/>
      <w:bookmarkEnd w:id="179"/>
    </w:p>
    <w:p w14:paraId="6EF0067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加强城乡基础设施建设。</w:t>
      </w:r>
      <w:r>
        <w:rPr>
          <w:rFonts w:hint="eastAsia" w:ascii="Times New Roman" w:hAnsi="Times New Roman" w:cs="仿宋"/>
          <w:smallCaps w:val="0"/>
          <w:color w:val="000000" w:themeColor="text1"/>
          <w:szCs w:val="32"/>
          <w:highlight w:val="none"/>
          <w14:textFill>
            <w14:solidFill>
              <w14:schemeClr w14:val="tx1"/>
            </w14:solidFill>
          </w14:textFill>
        </w:rPr>
        <w:t>加快农村交通、供水、供电、通信等基础设施建设，推动城市基础设施向农村延伸覆盖，实现城乡基础设施统一规划、一体建设、协同管护。实施农村饮水安全巩固提升工程，保障农村饮水安全稳定。推进农村电网改造升级，提升供电可靠性和质量。加强农村宽带网络和移动通信基站建设。</w:t>
      </w:r>
    </w:p>
    <w:p w14:paraId="49FF0B5A">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促进农业转移人口进城。</w:t>
      </w:r>
      <w:r>
        <w:rPr>
          <w:rFonts w:hint="eastAsia" w:ascii="Times New Roman" w:hAnsi="Times New Roman" w:cs="仿宋"/>
          <w:smallCaps w:val="0"/>
          <w:color w:val="000000" w:themeColor="text1"/>
          <w:szCs w:val="32"/>
          <w:highlight w:val="none"/>
          <w14:textFill>
            <w14:solidFill>
              <w14:schemeClr w14:val="tx1"/>
            </w14:solidFill>
          </w14:textFill>
        </w:rPr>
        <w:t>实施农民工职业技能提升行动，全市每年组织开展技能培训不少于1万人次。完善多元化住房保障体系，将灵活就业人员纳入住房公积金制度覆盖范围。扩大社会保障覆盖面，引导农业转移人口参加职工基本养老保险，统一城乡居民基本医保政策，为灵活就业人员提供在户籍地、常住地或就业地参保的便利选择。</w:t>
      </w:r>
    </w:p>
    <w:p w14:paraId="775BD40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强化城乡产业协同发展。</w:t>
      </w:r>
      <w:r>
        <w:rPr>
          <w:rFonts w:hint="eastAsia" w:ascii="Times New Roman" w:hAnsi="Times New Roman" w:cs="仿宋"/>
          <w:smallCaps w:val="0"/>
          <w:color w:val="000000" w:themeColor="text1"/>
          <w:szCs w:val="32"/>
          <w:highlight w:val="none"/>
          <w14:textFill>
            <w14:solidFill>
              <w14:schemeClr w14:val="tx1"/>
            </w14:solidFill>
          </w14:textFill>
        </w:rPr>
        <w:t>坚持城乡产业项目统筹规划、一体布局，明确功能分区、产业导向与空间安排，系统解决产业项目配套的基础设施和公共服务问题。围绕城乡产业协同需求，优先实施一批城乡基础设施一体化项目，加快建设5G网络、物联网、冷链物流等新型基础设施。定期遴选并推广一批效益良好、可持续性强、示范作用突出的城乡产业协同发展典型案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6349"/>
      </w:tblGrid>
      <w:tr w14:paraId="4627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2"/>
          </w:tcPr>
          <w:p w14:paraId="2DF788BA">
            <w:pPr>
              <w:pStyle w:val="4"/>
              <w:ind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8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基础设施重点项目</w:t>
            </w:r>
          </w:p>
        </w:tc>
      </w:tr>
      <w:tr w14:paraId="4A77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2712" w:type="dxa"/>
            <w:vAlign w:val="center"/>
          </w:tcPr>
          <w:p w14:paraId="33D4D28F">
            <w:pPr>
              <w:pStyle w:val="4"/>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交通基础设施</w:t>
            </w:r>
          </w:p>
        </w:tc>
        <w:tc>
          <w:tcPr>
            <w:tcW w:w="6349" w:type="dxa"/>
          </w:tcPr>
          <w:p w14:paraId="3377A627">
            <w:pPr>
              <w:pStyle w:val="4"/>
              <w:spacing w:line="340" w:lineRule="exact"/>
              <w:ind w:firstLine="0" w:firstLineChars="0"/>
              <w:rPr>
                <w:rFonts w:hint="default" w:ascii="Times New Roman" w:hAnsi="Times New Roman" w:eastAsia="仿宋"/>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cs="仿宋"/>
                <w:smallCaps w:val="0"/>
                <w:color w:val="000000" w:themeColor="text1"/>
                <w:sz w:val="24"/>
                <w:szCs w:val="24"/>
                <w:highlight w:val="none"/>
                <w14:textFill>
                  <w14:solidFill>
                    <w14:schemeClr w14:val="tx1"/>
                  </w14:solidFill>
                </w14:textFill>
              </w:rPr>
              <w:t>老旧路改造项目建设，</w:t>
            </w:r>
            <w:r>
              <w:rPr>
                <w:rFonts w:hint="eastAsia" w:ascii="Times New Roman" w:hAnsi="Times New Roman" w:cs="仿宋"/>
                <w:smallCaps w:val="0"/>
                <w:color w:val="000000" w:themeColor="text1"/>
                <w:sz w:val="24"/>
                <w:szCs w:val="24"/>
                <w:highlight w:val="none"/>
                <w:lang w:val="en-US" w:eastAsia="zh-CN"/>
                <w14:textFill>
                  <w14:solidFill>
                    <w14:schemeClr w14:val="tx1"/>
                  </w14:solidFill>
                </w14:textFill>
              </w:rPr>
              <w:t>配合完成</w:t>
            </w:r>
            <w:r>
              <w:rPr>
                <w:rFonts w:hint="eastAsia" w:ascii="Times New Roman" w:hAnsi="Times New Roman" w:cs="仿宋"/>
                <w:smallCaps w:val="0"/>
                <w:color w:val="000000" w:themeColor="text1"/>
                <w:sz w:val="24"/>
                <w:szCs w:val="24"/>
                <w:highlight w:val="none"/>
                <w14:textFill>
                  <w14:solidFill>
                    <w14:schemeClr w14:val="tx1"/>
                  </w14:solidFill>
                </w14:textFill>
              </w:rPr>
              <w:t>长春都市圈环线高速公路伊通至公主岭至农安段、长春半小时环线西环段（公主岭段）</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、国道扎赉特旗至公主岭G608（双城堡镇经莲花山经双龙镇至公主岭）、</w:t>
            </w:r>
            <w:r>
              <w:rPr>
                <w:rFonts w:hint="eastAsia" w:ascii="Times New Roman" w:hAnsi="Times New Roman" w:cs="仿宋"/>
                <w:smallCaps w:val="0"/>
                <w:color w:val="000000" w:themeColor="text1"/>
                <w:sz w:val="24"/>
                <w:szCs w:val="24"/>
                <w:highlight w:val="none"/>
                <w:lang w:val="en-US" w:eastAsia="zh-CN"/>
                <w14:textFill>
                  <w14:solidFill>
                    <w14:schemeClr w14:val="tx1"/>
                  </w14:solidFill>
                </w14:textFill>
              </w:rPr>
              <w:t>国道牙四线（G232）桑树台镇至于船口桥段改造项目、秦八线东辽河段贯通工程</w:t>
            </w:r>
            <w:r>
              <w:rPr>
                <w:rFonts w:hint="eastAsia" w:ascii="Times New Roman" w:hAnsi="Times New Roman" w:cs="仿宋"/>
                <w:smallCaps w:val="0"/>
                <w:color w:val="000000" w:themeColor="text1"/>
                <w:sz w:val="24"/>
                <w:szCs w:val="24"/>
                <w:highlight w:val="none"/>
                <w14:textFill>
                  <w14:solidFill>
                    <w14:schemeClr w14:val="tx1"/>
                  </w14:solidFill>
                </w14:textFill>
              </w:rPr>
              <w:t>、范家屯镇东部新城道路配套</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工程</w:t>
            </w:r>
            <w:r>
              <w:rPr>
                <w:rFonts w:hint="eastAsia" w:ascii="Times New Roman" w:hAnsi="Times New Roman" w:cs="仿宋"/>
                <w:smallCaps w:val="0"/>
                <w:color w:val="000000" w:themeColor="text1"/>
                <w:sz w:val="24"/>
                <w:szCs w:val="24"/>
                <w:highlight w:val="none"/>
                <w14:textFill>
                  <w14:solidFill>
                    <w14:schemeClr w14:val="tx1"/>
                  </w14:solidFill>
                </w14:textFill>
              </w:rPr>
              <w:t>、科贸大街西延长线、范家屯镇范伊路拓宽改造上跨京哈线立交桥改建、怀德镇老旧基础设施中修项目建设。</w:t>
            </w:r>
          </w:p>
        </w:tc>
      </w:tr>
      <w:tr w14:paraId="4CDB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70B330DA">
            <w:pPr>
              <w:pStyle w:val="4"/>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水利基础设施</w:t>
            </w:r>
          </w:p>
        </w:tc>
        <w:tc>
          <w:tcPr>
            <w:tcW w:w="6349" w:type="dxa"/>
          </w:tcPr>
          <w:p w14:paraId="10B467B3">
            <w:pPr>
              <w:pStyle w:val="4"/>
              <w:spacing w:line="340" w:lineRule="exact"/>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cs="仿宋"/>
                <w:smallCaps w:val="0"/>
                <w:color w:val="000000" w:themeColor="text1"/>
                <w:sz w:val="24"/>
                <w:szCs w:val="24"/>
                <w:highlight w:val="none"/>
                <w14:textFill>
                  <w14:solidFill>
                    <w14:schemeClr w14:val="tx1"/>
                  </w14:solidFill>
                </w14:textFill>
              </w:rPr>
              <w:t>中小河流小辽河公主岭市段治理、东辽河公主岭段整体提升和公主岭市（大岭、范家屯、双建）涝区综合治理、中小河流卡伦涝区总干渠公主岭市段治理等项目建设。</w:t>
            </w:r>
          </w:p>
        </w:tc>
      </w:tr>
      <w:tr w14:paraId="0EB4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1E91C9E7">
            <w:pPr>
              <w:pStyle w:val="4"/>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能源基础设施</w:t>
            </w:r>
          </w:p>
        </w:tc>
        <w:tc>
          <w:tcPr>
            <w:tcW w:w="6349" w:type="dxa"/>
          </w:tcPr>
          <w:p w14:paraId="4A997C12">
            <w:pPr>
              <w:pStyle w:val="4"/>
              <w:spacing w:line="340" w:lineRule="exact"/>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cs="仿宋"/>
                <w:smallCaps w:val="0"/>
                <w:color w:val="000000" w:themeColor="text1"/>
                <w:sz w:val="24"/>
                <w:szCs w:val="24"/>
                <w:highlight w:val="none"/>
                <w14:textFill>
                  <w14:solidFill>
                    <w14:schemeClr w14:val="tx1"/>
                  </w14:solidFill>
                </w14:textFill>
              </w:rPr>
              <w:t>集中式储能、66KV线路新建扩建项目建设</w:t>
            </w:r>
            <w:r>
              <w:rPr>
                <w:rFonts w:hint="eastAsia" w:ascii="Times New Roman" w:hAnsi="Times New Roman" w:cs="仿宋"/>
                <w:smallCaps w:val="0"/>
                <w:color w:val="000000" w:themeColor="text1"/>
                <w:sz w:val="24"/>
                <w:szCs w:val="24"/>
                <w:highlight w:val="none"/>
                <w:lang w:val="en-US" w:eastAsia="zh-CN"/>
                <w14:textFill>
                  <w14:solidFill>
                    <w14:schemeClr w14:val="tx1"/>
                  </w14:solidFill>
                </w14:textFill>
              </w:rPr>
              <w:t>等</w:t>
            </w:r>
            <w:r>
              <w:rPr>
                <w:rFonts w:hint="eastAsia" w:ascii="Times New Roman" w:hAnsi="Times New Roman" w:cs="仿宋"/>
                <w:smallCaps w:val="0"/>
                <w:color w:val="000000" w:themeColor="text1"/>
                <w:sz w:val="24"/>
                <w:szCs w:val="24"/>
                <w:highlight w:val="none"/>
                <w14:textFill>
                  <w14:solidFill>
                    <w14:schemeClr w14:val="tx1"/>
                  </w14:solidFill>
                </w14:textFill>
              </w:rPr>
              <w:t>项目建设</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cs="仿宋"/>
                <w:smallCaps w:val="0"/>
                <w:color w:val="000000" w:themeColor="text1"/>
                <w:sz w:val="24"/>
                <w:szCs w:val="24"/>
                <w:highlight w:val="none"/>
                <w14:textFill>
                  <w14:solidFill>
                    <w14:schemeClr w14:val="tx1"/>
                  </w14:solidFill>
                </w14:textFill>
              </w:rPr>
              <w:t>新能源汽车智慧充电基础设施项目（二期</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cs="仿宋"/>
                <w:smallCaps w:val="0"/>
                <w:color w:val="000000" w:themeColor="text1"/>
                <w:sz w:val="24"/>
                <w:szCs w:val="24"/>
                <w:highlight w:val="none"/>
                <w14:textFill>
                  <w14:solidFill>
                    <w14:schemeClr w14:val="tx1"/>
                  </w14:solidFill>
                </w14:textFill>
              </w:rPr>
              <w:t>等项目建设。</w:t>
            </w:r>
          </w:p>
        </w:tc>
      </w:tr>
      <w:tr w14:paraId="18A7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441BF08B">
            <w:pPr>
              <w:pStyle w:val="4"/>
              <w:ind w:firstLine="0" w:firstLineChars="0"/>
              <w:jc w:val="center"/>
              <w:rPr>
                <w:rFonts w:hint="eastAsia" w:ascii="Times New Roman" w:hAnsi="Times New Roman" w:eastAsia="黑体" w:cs="黑体"/>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lang w:eastAsia="zh-CN"/>
                <w14:textFill>
                  <w14:solidFill>
                    <w14:schemeClr w14:val="tx1"/>
                  </w14:solidFill>
                </w14:textFill>
              </w:rPr>
              <w:t>新型基础设施</w:t>
            </w:r>
          </w:p>
        </w:tc>
        <w:tc>
          <w:tcPr>
            <w:tcW w:w="6349" w:type="dxa"/>
          </w:tcPr>
          <w:p w14:paraId="7BB199CA">
            <w:pPr>
              <w:pStyle w:val="4"/>
              <w:spacing w:line="340" w:lineRule="exact"/>
              <w:ind w:firstLine="0" w:firstLineChars="0"/>
              <w:rPr>
                <w:rFonts w:hint="eastAsia" w:ascii="Times New Roman" w:hAnsi="Times New Roman" w:eastAsia="仿宋" w:cs="仿宋"/>
                <w:b/>
                <w:bCs/>
                <w:smallCaps w:val="0"/>
                <w:color w:val="000000" w:themeColor="text1"/>
                <w:sz w:val="24"/>
                <w:szCs w:val="24"/>
                <w:highlight w:val="none"/>
                <w:lang w:eastAsia="zh-CN"/>
                <w14:textFill>
                  <w14:solidFill>
                    <w14:schemeClr w14:val="tx1"/>
                  </w14:solidFill>
                </w14:textFill>
              </w:rPr>
            </w:pPr>
            <w:r>
              <w:rPr>
                <w:rFonts w:hint="eastAsia" w:ascii="Times New Roman" w:hAnsi="Times New Roman"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cs="仿宋"/>
                <w:smallCaps w:val="0"/>
                <w:color w:val="000000" w:themeColor="text1"/>
                <w:sz w:val="24"/>
                <w:szCs w:val="24"/>
                <w:highlight w:val="none"/>
                <w14:textFill>
                  <w14:solidFill>
                    <w14:schemeClr w14:val="tx1"/>
                  </w14:solidFill>
                </w14:textFill>
              </w:rPr>
              <w:t>大岭镇5G通信基站</w:t>
            </w:r>
            <w:r>
              <w:rPr>
                <w:rFonts w:hint="eastAsia" w:ascii="Times New Roman" w:hAnsi="Times New Roman" w:cs="仿宋"/>
                <w:smallCaps w:val="0"/>
                <w:color w:val="000000" w:themeColor="text1"/>
                <w:sz w:val="24"/>
                <w:szCs w:val="24"/>
                <w:highlight w:val="none"/>
                <w:lang w:eastAsia="zh-CN"/>
                <w14:textFill>
                  <w14:solidFill>
                    <w14:schemeClr w14:val="tx1"/>
                  </w14:solidFill>
                </w14:textFill>
              </w:rPr>
              <w:t>项目建设。</w:t>
            </w:r>
          </w:p>
        </w:tc>
      </w:tr>
    </w:tbl>
    <w:p w14:paraId="5E18FEAF">
      <w:pPr>
        <w:pStyle w:val="4"/>
        <w:keepNext w:val="0"/>
        <w:keepLines w:val="0"/>
        <w:pageBreakBefore w:val="0"/>
        <w:widowControl w:val="0"/>
        <w:kinsoku/>
        <w:wordWrap/>
        <w:overflowPunct/>
        <w:topLinePunct w:val="0"/>
        <w:autoSpaceDE/>
        <w:autoSpaceDN/>
        <w:bidi w:val="0"/>
        <w:adjustRightInd/>
        <w:snapToGrid/>
        <w:spacing w:line="576" w:lineRule="exact"/>
        <w:ind w:firstLine="600"/>
        <w:textAlignment w:val="auto"/>
        <w:rPr>
          <w:rFonts w:ascii="Times New Roman" w:hAnsi="Times New Roman"/>
          <w:smallCaps w:val="0"/>
          <w:color w:val="000000" w:themeColor="text1"/>
          <w:highlight w:val="none"/>
          <w14:textFill>
            <w14:solidFill>
              <w14:schemeClr w14:val="tx1"/>
            </w14:solidFill>
          </w14:textFill>
        </w:rPr>
      </w:pPr>
    </w:p>
    <w:p w14:paraId="075F4532">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s="黑体"/>
          <w:smallCaps w:val="0"/>
          <w:color w:val="000000" w:themeColor="text1"/>
          <w:sz w:val="32"/>
          <w:szCs w:val="32"/>
          <w:highlight w:val="none"/>
          <w:lang w:val="en-US" w:eastAsia="zh-CN"/>
          <w14:textFill>
            <w14:solidFill>
              <w14:schemeClr w14:val="tx1"/>
            </w14:solidFill>
          </w14:textFill>
        </w:rPr>
      </w:pPr>
      <w:bookmarkStart w:id="180" w:name="_Toc4490"/>
      <w:bookmarkStart w:id="181" w:name="_Toc21041"/>
      <w:bookmarkStart w:id="182" w:name="_Toc24283"/>
      <w:r>
        <w:rPr>
          <w:rFonts w:hint="eastAsia" w:ascii="Times New Roman" w:hAnsi="Times New Roman" w:eastAsia="黑体" w:cs="黑体"/>
          <w:smallCaps w:val="0"/>
          <w:color w:val="000000" w:themeColor="text1"/>
          <w:sz w:val="32"/>
          <w:szCs w:val="32"/>
          <w:highlight w:val="none"/>
          <w:lang w:eastAsia="zh-CN"/>
          <w14:textFill>
            <w14:solidFill>
              <w14:schemeClr w14:val="tx1"/>
            </w14:solidFill>
          </w14:textFill>
        </w:rPr>
        <w:t>第六章</w:t>
      </w:r>
      <w:r>
        <w:rPr>
          <w:rFonts w:hint="eastAsia" w:ascii="Times New Roman" w:hAnsi="Times New Roman" w:eastAsia="黑体" w:cs="黑体"/>
          <w:small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黑体" w:cs="黑体"/>
          <w:smallCaps w:val="0"/>
          <w:color w:val="000000" w:themeColor="text1"/>
          <w:sz w:val="32"/>
          <w:szCs w:val="32"/>
          <w:highlight w:val="none"/>
          <w:lang w:eastAsia="zh-CN"/>
          <w14:textFill>
            <w14:solidFill>
              <w14:schemeClr w14:val="tx1"/>
            </w14:solidFill>
          </w14:textFill>
        </w:rPr>
        <w:t>融入全国统一大市场</w:t>
      </w:r>
      <w:r>
        <w:rPr>
          <w:rFonts w:hint="eastAsia" w:ascii="Times New Roman" w:hAnsi="Times New Roman" w:eastAsia="黑体" w:cs="黑体"/>
          <w:smallCaps w:val="0"/>
          <w:color w:val="000000" w:themeColor="text1"/>
          <w:sz w:val="32"/>
          <w:szCs w:val="32"/>
          <w:highlight w:val="none"/>
          <w:lang w:val="en-US" w:eastAsia="zh-CN"/>
          <w14:textFill>
            <w14:solidFill>
              <w14:schemeClr w14:val="tx1"/>
            </w14:solidFill>
          </w14:textFill>
        </w:rPr>
        <w:t>，持续扩大内需</w:t>
      </w:r>
      <w:bookmarkEnd w:id="180"/>
    </w:p>
    <w:p w14:paraId="2E955F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仿宋_GB2312"/>
          <w:smallCaps w:val="0"/>
          <w:color w:val="000000" w:themeColor="text1"/>
          <w:sz w:val="32"/>
          <w:szCs w:val="32"/>
          <w:highlight w:val="none"/>
          <w:lang w:val="en-US" w:eastAsia="zh-CN"/>
          <w14:textFill>
            <w14:solidFill>
              <w14:schemeClr w14:val="tx1"/>
            </w14:solidFill>
          </w14:textFill>
        </w:rPr>
      </w:pPr>
    </w:p>
    <w:p w14:paraId="3FB30B8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default" w:ascii="Times New Roman" w:hAnsi="Times New Roman" w:cs="仿宋"/>
          <w:smallCaps w:val="0"/>
          <w:color w:val="000000" w:themeColor="text1"/>
          <w:szCs w:val="32"/>
          <w:highlight w:val="none"/>
          <w:lang w:val="en-US" w:eastAsia="zh-CN"/>
          <w14:textFill>
            <w14:solidFill>
              <w14:schemeClr w14:val="tx1"/>
            </w14:solidFill>
          </w14:textFill>
        </w:rPr>
      </w:pPr>
      <w:r>
        <w:rPr>
          <w:rFonts w:hint="default" w:ascii="Times New Roman" w:hAnsi="Times New Roman" w:cs="仿宋"/>
          <w:smallCaps w:val="0"/>
          <w:color w:val="000000" w:themeColor="text1"/>
          <w:szCs w:val="32"/>
          <w:highlight w:val="none"/>
          <w:lang w:val="en-US" w:eastAsia="zh-CN"/>
          <w14:textFill>
            <w14:solidFill>
              <w14:schemeClr w14:val="tx1"/>
            </w14:solidFill>
          </w14:textFill>
        </w:rPr>
        <w:t>增强消费对经济发展的基础性作用和投资对优化供给结构的关键作用，大力提振消费、提高投资效益，推动经济实现质的有效提升和量的合理增长。</w:t>
      </w:r>
    </w:p>
    <w:p w14:paraId="64ED137D">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183" w:name="_Toc19755"/>
      <w:r>
        <w:rPr>
          <w:rFonts w:hint="eastAsia" w:ascii="Times New Roman" w:hAnsi="Times New Roman"/>
          <w:smallCaps w:val="0"/>
          <w:color w:val="000000" w:themeColor="text1"/>
          <w:highlight w:val="none"/>
          <w:lang w:val="en-US" w:eastAsia="zh-CN"/>
          <w14:textFill>
            <w14:solidFill>
              <w14:schemeClr w14:val="tx1"/>
            </w14:solidFill>
          </w14:textFill>
        </w:rPr>
        <w:t>第一节 激发县域消费活力</w:t>
      </w:r>
      <w:bookmarkEnd w:id="183"/>
    </w:p>
    <w:p w14:paraId="13B9A06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推进消费集聚区建设。</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打造特色鲜明、业态丰富的标志性商圈和商街，推动现有街区优化业态布局、提升环境品质、集聚优质商户，构建集休闲、体验、购物于一体的生活消费空间。依托新风街、南环城街等餐饮资源集聚优势，引进特色餐饮品牌，打造美食街区、夜间消费集聚区和步行商业街区。鼓励建设融合文创、书店、小剧场、文化娱乐等多业态的消费新地标。推动农贸市场升级改造，改善乡镇消费环境，释放乡村消费潜力。</w:t>
      </w:r>
    </w:p>
    <w:p w14:paraId="1557BD7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培育新型消费场景业态。</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引导鼓励传统购物中心、百货店、家居市场等向体验、时尚、社交综合场景转型，激活消费新业态。引导商圈聚焦消费新场景，推动传统商业体向“线上线下融合+多元体验”转型。开拓首发经济，积极引导大型综合商超对接优质运营商和品牌，引入首店、首发商品和旗舰店，拓展时尚化、主题化、智慧化消费场景，提高商业设施运营效能。</w:t>
      </w:r>
    </w:p>
    <w:p w14:paraId="3F0E3555">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default"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激发消费潜能。</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深入实施促消费专项行动，稳定和扩大大宗消费。围绕汽车、家电、家居等热点领域，用好消费品以旧换新等政策，开展更新补贴活动，推动产品迭代升级。激发文旅消费活力，打造消夏避暑线路，支持旅游文化园区建设，完善配套服务，丰富产品供给。积极引进音乐节、演唱会，持续办好“玉米节”等品牌活动，带动住宿、餐饮、购物等关联消费。鼓励大型商业综合体发展夜间经济，引入特色餐饮、文创市集、夜间演艺等业态，持续释放夜间消费潜力。</w:t>
      </w:r>
    </w:p>
    <w:p w14:paraId="5B590E2A">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184" w:name="_Toc26314"/>
      <w:r>
        <w:rPr>
          <w:rFonts w:hint="eastAsia" w:ascii="Times New Roman" w:hAnsi="Times New Roman"/>
          <w:smallCaps w:val="0"/>
          <w:color w:val="000000" w:themeColor="text1"/>
          <w:highlight w:val="none"/>
          <w:lang w:val="en-US" w:eastAsia="zh-CN"/>
          <w14:textFill>
            <w14:solidFill>
              <w14:schemeClr w14:val="tx1"/>
            </w14:solidFill>
          </w14:textFill>
        </w:rPr>
        <w:t>第二节 积极拓展有效投资</w:t>
      </w:r>
      <w:bookmarkEnd w:id="184"/>
    </w:p>
    <w:p w14:paraId="19996CC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发挥政府投资作用。</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优化政府投资结构，积极争取中央预算内资金、超长期特别国债等政策支持，重点投向交通、能源、水利、城建等基础设施领域。加快补齐教育、医疗、养老、“一老一小”等服务设施短板，提升公共服务供给能力。</w:t>
      </w:r>
    </w:p>
    <w:p w14:paraId="4A92645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激发民间投资活力。</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落实促进民间投资政策措施，增强民间投资信心。完善民营企业参与重大项目建设长效机制，强化资金、土地等要素协同保障。鼓励民间资本参与基础设施、新型城镇化、先进制造、现代服务业、现代农业、生态环保、社会民生等领域重大项目建设。</w:t>
      </w:r>
    </w:p>
    <w:p w14:paraId="318DBE8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default"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实施项目建设工程。</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围绕“十五五”规划和“1369”高质量发展战略，聚焦六大产业、长春都市圈共建等领域，谋划储备一批亿元以上重大项目。加快项目用地、环评、能评、规划许可等审批手续办理，提升项目成熟度。对重大项目实施清单化管理，及时协调解决项目推进中的困难问题。</w:t>
      </w:r>
    </w:p>
    <w:p w14:paraId="323238BA">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185" w:name="_Toc19478"/>
      <w:r>
        <w:rPr>
          <w:rFonts w:hint="eastAsia" w:ascii="Times New Roman" w:hAnsi="Times New Roman"/>
          <w:smallCaps w:val="0"/>
          <w:color w:val="000000" w:themeColor="text1"/>
          <w:highlight w:val="none"/>
          <w:lang w:val="en-US" w:eastAsia="zh-CN"/>
          <w14:textFill>
            <w14:solidFill>
              <w14:schemeClr w14:val="tx1"/>
            </w14:solidFill>
          </w14:textFill>
        </w:rPr>
        <w:t>第三节 融入全国统一大市场</w:t>
      </w:r>
      <w:bookmarkEnd w:id="185"/>
    </w:p>
    <w:p w14:paraId="394E1024">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强化市场制度规则统一。</w:t>
      </w:r>
      <w:bookmarkStart w:id="186" w:name="_Toc26555"/>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全面清理各领域不合理限制和隐性壁垒，持续开展规范性文件清理。完善市场准入、公平竞争、质量标准等基础制度，建立问题清单、责任清单和整改台账，实行对账销号。严格执行规范性文件备案审查制度，健全“一报双审”、专家审查和上下联动工作机制，维护市场制度统一与权威。</w:t>
      </w:r>
    </w:p>
    <w:p w14:paraId="0F7FC50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保障市场公平竞争。</w:t>
      </w:r>
      <w:bookmarkEnd w:id="186"/>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建立涉企政策公平竞争审查前置程序，防止出台排除限制竞争的政策措施。加强维护统一市场综合执法能力建设，建立公平竞争审查抽查机制，开展反垄断、反不正当竞争专项执法。落实行政处罚裁量基准制度，规范行政处罚裁量权行使。推进招标投标“双盲”评审改革，推动公共资源交易“应进必进”。建立远程异地评标常态化机制，提升评标公正性。综合整治“内卷式”竞争，营造公平有序、充满活力的市场环境。</w:t>
      </w:r>
    </w:p>
    <w:p w14:paraId="2C585904">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Times New Roman" w:hAnsi="Times New Roman" w:eastAsia="黑体"/>
          <w:bCs/>
          <w:smallCaps w:val="0"/>
          <w:color w:val="000000" w:themeColor="text1"/>
          <w:kern w:val="44"/>
          <w:szCs w:val="44"/>
          <w:highlight w:val="none"/>
          <w14:textFill>
            <w14:solidFill>
              <w14:schemeClr w14:val="tx1"/>
            </w14:solidFill>
          </w14:textFill>
        </w:rPr>
      </w:pPr>
    </w:p>
    <w:p w14:paraId="0CE83E9C">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smallCaps w:val="0"/>
          <w:color w:val="000000" w:themeColor="text1"/>
          <w:highlight w:val="none"/>
          <w:lang w:eastAsia="zh-CN"/>
          <w14:textFill>
            <w14:solidFill>
              <w14:schemeClr w14:val="tx1"/>
            </w14:solidFill>
          </w14:textFill>
        </w:rPr>
      </w:pPr>
      <w:bookmarkStart w:id="187" w:name="_Toc32422"/>
      <w:bookmarkStart w:id="188" w:name="_Toc349"/>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 全面深化改革开放，</w:t>
      </w:r>
      <w:bookmarkEnd w:id="181"/>
      <w:bookmarkEnd w:id="182"/>
      <w:r>
        <w:rPr>
          <w:rFonts w:hint="eastAsia" w:ascii="Times New Roman" w:hAnsi="Times New Roman"/>
          <w:smallCaps w:val="0"/>
          <w:color w:val="000000" w:themeColor="text1"/>
          <w:highlight w:val="none"/>
          <w:lang w:eastAsia="zh-CN"/>
          <w14:textFill>
            <w14:solidFill>
              <w14:schemeClr w14:val="tx1"/>
            </w14:solidFill>
          </w14:textFill>
        </w:rPr>
        <w:t>激发内生动力</w:t>
      </w:r>
      <w:bookmarkEnd w:id="187"/>
      <w:bookmarkEnd w:id="188"/>
    </w:p>
    <w:p w14:paraId="7036C284">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smallCaps w:val="0"/>
          <w:color w:val="000000" w:themeColor="text1"/>
          <w:highlight w:val="none"/>
          <w14:textFill>
            <w14:solidFill>
              <w14:schemeClr w14:val="tx1"/>
            </w14:solidFill>
          </w14:textFill>
        </w:rPr>
      </w:pPr>
    </w:p>
    <w:p w14:paraId="6FA55E96">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实施营商环境优化提升工程，推动各项改革有机衔接、有效贯通、有序联动，以改革全面激发县域发展的活力与动力。提升对外开放能力，打造高水平对外开放平台，融入全国统一大市场。</w:t>
      </w:r>
    </w:p>
    <w:p w14:paraId="048EBBDE">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189" w:name="_Toc10422"/>
      <w:bookmarkStart w:id="190" w:name="_Toc840"/>
      <w:bookmarkStart w:id="191" w:name="_Toc5325"/>
      <w:bookmarkStart w:id="192" w:name="_Toc19699"/>
      <w:bookmarkStart w:id="193" w:name="_Toc30519"/>
      <w:bookmarkStart w:id="194" w:name="_Toc21339"/>
      <w:r>
        <w:rPr>
          <w:rFonts w:hint="eastAsia" w:ascii="Times New Roman" w:hAnsi="Times New Roman"/>
          <w:smallCaps w:val="0"/>
          <w:color w:val="000000" w:themeColor="text1"/>
          <w:highlight w:val="none"/>
          <w14:textFill>
            <w14:solidFill>
              <w14:schemeClr w14:val="tx1"/>
            </w14:solidFill>
          </w14:textFill>
        </w:rPr>
        <w:t>第一节 建设一流营商环境</w:t>
      </w:r>
      <w:bookmarkEnd w:id="189"/>
      <w:bookmarkEnd w:id="190"/>
      <w:bookmarkEnd w:id="191"/>
      <w:bookmarkEnd w:id="192"/>
      <w:bookmarkEnd w:id="193"/>
    </w:p>
    <w:p w14:paraId="254BA2B1">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推进政务服务规范化。</w:t>
      </w:r>
      <w:r>
        <w:rPr>
          <w:rFonts w:hint="eastAsia" w:ascii="Times New Roman" w:hAnsi="Times New Roman" w:cs="仿宋"/>
          <w:smallCaps w:val="0"/>
          <w:color w:val="000000" w:themeColor="text1"/>
          <w:szCs w:val="32"/>
          <w:highlight w:val="none"/>
          <w14:textFill>
            <w14:solidFill>
              <w14:schemeClr w14:val="tx1"/>
            </w14:solidFill>
          </w14:textFill>
        </w:rPr>
        <w:t>加快政务服务事项集中进驻综合性实体大厅，实现企业群众“进一扇门、办所有事”。</w:t>
      </w:r>
      <w:r>
        <w:rPr>
          <w:rFonts w:hint="eastAsia" w:ascii="Times New Roman" w:hAnsi="Times New Roman" w:eastAsia="仿宋" w:cs="仿宋"/>
          <w:b w:val="0"/>
          <w:bCs w:val="0"/>
          <w:smallCaps w:val="0"/>
          <w:color w:val="000000" w:themeColor="text1"/>
          <w:sz w:val="32"/>
          <w:szCs w:val="32"/>
          <w:highlight w:val="none"/>
          <w14:textFill>
            <w14:solidFill>
              <w14:schemeClr w14:val="tx1"/>
            </w14:solidFill>
          </w14:textFill>
        </w:rPr>
        <w:t>提升基层政务服务效能</w:t>
      </w:r>
      <w:r>
        <w:rPr>
          <w:rFonts w:hint="eastAsia" w:ascii="Times New Roman" w:hAnsi="Times New Roman" w:cs="仿宋"/>
          <w:smallCaps w:val="0"/>
          <w:color w:val="000000" w:themeColor="text1"/>
          <w:szCs w:val="32"/>
          <w:highlight w:val="none"/>
          <w14:textFill>
            <w14:solidFill>
              <w14:schemeClr w14:val="tx1"/>
            </w14:solidFill>
          </w14:textFill>
        </w:rPr>
        <w:t>。将各级大厅纳入全程电子监察，加强行为监控和事项办理数据监管，实现全链条异常问题督办。落实收件即受理、首席事务代表、首问负责、告知承诺等制度，推行极简审批和部门内部会商，持续优化流程，提升审批效率。建立政务服务事项清理规范机制，整治违规增设中介服务、市场垄断、利益输送等问题。</w:t>
      </w:r>
    </w:p>
    <w:p w14:paraId="6BFA8DE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提升政务服务便利能力。</w:t>
      </w:r>
      <w:r>
        <w:rPr>
          <w:rFonts w:hint="eastAsia" w:ascii="Times New Roman" w:hAnsi="Times New Roman" w:cs="仿宋"/>
          <w:smallCaps w:val="0"/>
          <w:color w:val="000000" w:themeColor="text1"/>
          <w:szCs w:val="32"/>
          <w:highlight w:val="none"/>
          <w14:textFill>
            <w14:solidFill>
              <w14:schemeClr w14:val="tx1"/>
            </w14:solidFill>
          </w14:textFill>
        </w:rPr>
        <w:t>健全市乡村三级政务服务体系，推动高频事项“办理不出镇”。构建协同涉企服务机制，设立助企服务办公室，提供企业开办、融资信贷、项目申报等“一站式”服务，组建专业“领办帮办团”为重点企业项目提供“一对一”支持。</w:t>
      </w:r>
    </w:p>
    <w:p w14:paraId="6DECCD2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构建服务型监管执法机制。</w:t>
      </w:r>
      <w:r>
        <w:rPr>
          <w:rFonts w:hint="eastAsia" w:ascii="Times New Roman" w:hAnsi="Times New Roman" w:cs="仿宋"/>
          <w:smallCaps w:val="0"/>
          <w:color w:val="000000" w:themeColor="text1"/>
          <w:szCs w:val="32"/>
          <w:highlight w:val="none"/>
          <w14:textFill>
            <w14:solidFill>
              <w14:schemeClr w14:val="tx1"/>
            </w14:solidFill>
          </w14:textFill>
        </w:rPr>
        <w:t>深化“双随机、一公开”监管和行政检查执法备案改革，落实包容审慎监管，形成“无事不扰”监管模式。健全“首违不罚”机制，推进“接诉即办”改革，提升诉求响应率、办结率和满意率。放宽市场主体准入条件，落实公平竞争审查，维护市场主体合法权益。规范涉企收费，加强行业协会商会收费监管。强化执法人员培训和服务意识，推行整改事项一次性告知，降低企业合规成本。</w:t>
      </w:r>
    </w:p>
    <w:p w14:paraId="149D4681">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195" w:name="_Toc11371"/>
      <w:bookmarkStart w:id="196" w:name="_Toc24532"/>
      <w:bookmarkStart w:id="197" w:name="_Toc9120"/>
      <w:bookmarkStart w:id="198" w:name="_Toc2375"/>
      <w:r>
        <w:rPr>
          <w:rFonts w:hint="eastAsia" w:ascii="Times New Roman" w:hAnsi="Times New Roman"/>
          <w:smallCaps w:val="0"/>
          <w:color w:val="000000" w:themeColor="text1"/>
          <w:highlight w:val="none"/>
          <w14:textFill>
            <w14:solidFill>
              <w14:schemeClr w14:val="tx1"/>
            </w14:solidFill>
          </w14:textFill>
        </w:rPr>
        <w:t>第二节 发展壮大民营经济</w:t>
      </w:r>
      <w:bookmarkEnd w:id="194"/>
      <w:bookmarkEnd w:id="195"/>
      <w:bookmarkEnd w:id="196"/>
      <w:bookmarkEnd w:id="197"/>
      <w:bookmarkEnd w:id="198"/>
    </w:p>
    <w:p w14:paraId="608DB4F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优化民营经济发展环境。</w:t>
      </w:r>
      <w:r>
        <w:rPr>
          <w:rFonts w:hint="eastAsia" w:ascii="Times New Roman" w:hAnsi="Times New Roman" w:cs="仿宋"/>
          <w:smallCaps w:val="0"/>
          <w:color w:val="000000" w:themeColor="text1"/>
          <w:szCs w:val="32"/>
          <w:highlight w:val="none"/>
          <w14:textFill>
            <w14:solidFill>
              <w14:schemeClr w14:val="tx1"/>
            </w14:solidFill>
          </w14:textFill>
        </w:rPr>
        <w:t>落实公平竞争审查制度，保障民营企业平等获取政策支持和要素资源。严格执行全国统一市场准入负面清单，清理破除各类准入壁垒，确保“非禁即入”。健全民间资本参与重大项目建设机制</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完善拖欠企业账款清偿制度，将机关事业单位拖欠账款纳入地方债务监测范围。</w:t>
      </w:r>
    </w:p>
    <w:p w14:paraId="05594CD9">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保障民营经济要素供给。</w:t>
      </w:r>
      <w:r>
        <w:rPr>
          <w:rFonts w:hint="eastAsia" w:ascii="Times New Roman" w:hAnsi="Times New Roman" w:cs="仿宋"/>
          <w:smallCaps w:val="0"/>
          <w:color w:val="000000" w:themeColor="text1"/>
          <w:szCs w:val="32"/>
          <w:highlight w:val="none"/>
          <w14:textFill>
            <w14:solidFill>
              <w14:schemeClr w14:val="tx1"/>
            </w14:solidFill>
          </w14:textFill>
        </w:rPr>
        <w:t>保障民营企业投资项目用地需求。拓宽融资渠道，探索信用保险，健全融资担保体系，降低运营成本。支持民营企业承担省市重大科技项目。引导民营企业参与科技创新联盟和创新联合体。</w:t>
      </w:r>
    </w:p>
    <w:p w14:paraId="15E8035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增强民营企业发展能力。</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落实</w:t>
      </w:r>
      <w:r>
        <w:rPr>
          <w:rFonts w:hint="eastAsia" w:ascii="Times New Roman" w:hAnsi="Times New Roman" w:cs="仿宋"/>
          <w:smallCaps w:val="0"/>
          <w:color w:val="000000" w:themeColor="text1"/>
          <w:szCs w:val="32"/>
          <w:highlight w:val="none"/>
          <w14:textFill>
            <w14:solidFill>
              <w14:schemeClr w14:val="tx1"/>
            </w14:solidFill>
          </w14:textFill>
        </w:rPr>
        <w:t>专项扶持政策，建设民营经济集聚园区和孵化平台。实施“专精特新”培育行动，打造细分领域“隐形冠军”和“单项冠军”。加强企业家队伍建设，鼓励职业院校开展“订单式”培养，健全民营企业家培训体系。引导企业加强内部管理、履行社会责任，完善民营经济监测评价体系。</w:t>
      </w:r>
    </w:p>
    <w:p w14:paraId="6E2147E1">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199" w:name="_Toc19896"/>
      <w:bookmarkStart w:id="200" w:name="_Toc1465"/>
      <w:bookmarkStart w:id="201" w:name="_Toc20526"/>
      <w:bookmarkStart w:id="202" w:name="_Toc6496"/>
      <w:r>
        <w:rPr>
          <w:rFonts w:hint="eastAsia" w:ascii="Times New Roman" w:hAnsi="Times New Roman"/>
          <w:smallCaps w:val="0"/>
          <w:color w:val="000000" w:themeColor="text1"/>
          <w:highlight w:val="none"/>
          <w14:textFill>
            <w14:solidFill>
              <w14:schemeClr w14:val="tx1"/>
            </w14:solidFill>
          </w14:textFill>
        </w:rPr>
        <w:t>第三节 推进重点领域改革</w:t>
      </w:r>
      <w:bookmarkEnd w:id="199"/>
      <w:bookmarkEnd w:id="200"/>
      <w:bookmarkEnd w:id="201"/>
      <w:bookmarkEnd w:id="202"/>
    </w:p>
    <w:p w14:paraId="6202FF6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深化要素市场化改革。</w:t>
      </w:r>
      <w:r>
        <w:rPr>
          <w:rFonts w:hint="eastAsia" w:ascii="Times New Roman" w:hAnsi="Times New Roman" w:cs="仿宋"/>
          <w:smallCaps w:val="0"/>
          <w:color w:val="000000" w:themeColor="text1"/>
          <w:szCs w:val="32"/>
          <w:highlight w:val="none"/>
          <w14:textFill>
            <w14:solidFill>
              <w14:schemeClr w14:val="tx1"/>
            </w14:solidFill>
          </w14:textFill>
        </w:rPr>
        <w:t>优化土地指标供给与配置，推广城乡建设用地“增减挂钩”模式。盘活存量低效建设用地，鼓励通过协商收回、带地上物出让等方式推动土地腾退再开发，提升土地利用效率。允许原土地使用权人依法通过改造、合资合作或转让等方式盘活存量建设用地。</w:t>
      </w:r>
    </w:p>
    <w:p w14:paraId="24D8738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推动国资国企改革。</w:t>
      </w:r>
      <w:r>
        <w:rPr>
          <w:rFonts w:hint="eastAsia" w:ascii="Times New Roman" w:hAnsi="Times New Roman" w:cs="仿宋"/>
          <w:smallCaps w:val="0"/>
          <w:color w:val="000000" w:themeColor="text1"/>
          <w:szCs w:val="32"/>
          <w:highlight w:val="none"/>
          <w14:textFill>
            <w14:solidFill>
              <w14:schemeClr w14:val="tx1"/>
            </w14:solidFill>
          </w14:textFill>
        </w:rPr>
        <w:t>严控国有企业新设，加快剥离非主业、非优势业务，优化国有资本布局。引导国有企业聚焦主责主业，完善债务风险监测防控机制。加强人才队伍建设，推行员工末等调整和不胜任退出机制，强化收入分配向关键岗位和突出贡献人才倾斜，激发国企内生动力和发展活力。</w:t>
      </w:r>
    </w:p>
    <w:p w14:paraId="6961C34F">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推进财政制度改革。</w:t>
      </w:r>
      <w:r>
        <w:rPr>
          <w:rFonts w:hint="eastAsia" w:ascii="Times New Roman" w:hAnsi="Times New Roman" w:cs="仿宋"/>
          <w:smallCaps w:val="0"/>
          <w:color w:val="000000" w:themeColor="text1"/>
          <w:szCs w:val="32"/>
          <w:highlight w:val="none"/>
          <w14:textFill>
            <w14:solidFill>
              <w14:schemeClr w14:val="tx1"/>
            </w14:solidFill>
          </w14:textFill>
        </w:rPr>
        <w:t>全面推进零基预算改革，健全项目支出标准体系。强化公共服务绩效管理，加大绩效评价结果应用力度。优化财政支出结构，优先足额保障“三保”支出。完善政府债务管理制度，从严控制债务规模，规范举债程序和资金用途，坚决遏制隐性债务增量，稳妥化解存量债务，分类推动融资平台公司市场化转型。</w:t>
      </w:r>
    </w:p>
    <w:p w14:paraId="32FC6E2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eastAsia="仿宋" w:cs="仿宋"/>
          <w:smallCaps w:val="0"/>
          <w:color w:val="000000" w:themeColor="text1"/>
          <w:szCs w:val="32"/>
          <w:highlight w:val="none"/>
          <w:lang w:eastAsia="zh-CN"/>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推进金融制度改革。</w:t>
      </w:r>
      <w:r>
        <w:rPr>
          <w:rFonts w:hint="eastAsia" w:ascii="Times New Roman" w:hAnsi="Times New Roman" w:cs="仿宋"/>
          <w:smallCaps w:val="0"/>
          <w:color w:val="000000" w:themeColor="text1"/>
          <w:szCs w:val="32"/>
          <w:highlight w:val="none"/>
          <w14:textFill>
            <w14:solidFill>
              <w14:schemeClr w14:val="tx1"/>
            </w14:solidFill>
          </w14:textFill>
        </w:rPr>
        <w:t>完善市、乡、村三级农村金融服务网络，加强金融风险监测预警，引导开展信用互助的农民专业合作社有序退出。依法打击非法金融活动，维护区域金融秩序。深化农信系统改革，健全跨部门联动打击非法金融活动的工作机制</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p>
    <w:p w14:paraId="6AA6680C">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03" w:name="_Toc29909"/>
      <w:bookmarkStart w:id="204" w:name="_Toc18099"/>
      <w:bookmarkStart w:id="205" w:name="_Toc9854"/>
      <w:bookmarkStart w:id="206" w:name="_Toc24040"/>
      <w:r>
        <w:rPr>
          <w:rFonts w:hint="eastAsia" w:ascii="Times New Roman" w:hAnsi="Times New Roman"/>
          <w:smallCaps w:val="0"/>
          <w:color w:val="000000" w:themeColor="text1"/>
          <w:highlight w:val="none"/>
          <w14:textFill>
            <w14:solidFill>
              <w14:schemeClr w14:val="tx1"/>
            </w14:solidFill>
          </w14:textFill>
        </w:rPr>
        <w:t>第四节 强化精准开放合作</w:t>
      </w:r>
      <w:bookmarkEnd w:id="203"/>
      <w:bookmarkEnd w:id="204"/>
      <w:bookmarkEnd w:id="205"/>
      <w:bookmarkEnd w:id="206"/>
    </w:p>
    <w:p w14:paraId="232E5AED">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推进国际开放合作。</w:t>
      </w:r>
      <w:r>
        <w:rPr>
          <w:rFonts w:hint="eastAsia" w:ascii="Times New Roman" w:hAnsi="Times New Roman" w:cs="仿宋"/>
          <w:smallCaps w:val="0"/>
          <w:color w:val="000000" w:themeColor="text1"/>
          <w:szCs w:val="32"/>
          <w:highlight w:val="none"/>
          <w14:textFill>
            <w14:solidFill>
              <w14:schemeClr w14:val="tx1"/>
            </w14:solidFill>
          </w14:textFill>
        </w:rPr>
        <w:t>坚持企业对外贸易主体地位，提升外贸综合能力，拓展多元化国际市场。深化国际产能合作，支持企业开展对外投资。优化外贸结构，扩大鲜食玉米、汽车零部件等重点产品出口规模，引导高新技术产品开展对外贸易合作。组织企业参与国际性经贸交流活动，巩固与</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东北亚</w:t>
      </w:r>
      <w:r>
        <w:rPr>
          <w:rFonts w:hint="eastAsia" w:ascii="Times New Roman" w:hAnsi="Times New Roman" w:cs="仿宋"/>
          <w:smallCaps w:val="0"/>
          <w:color w:val="000000" w:themeColor="text1"/>
          <w:szCs w:val="32"/>
          <w:highlight w:val="none"/>
          <w14:textFill>
            <w14:solidFill>
              <w14:schemeClr w14:val="tx1"/>
            </w14:solidFill>
          </w14:textFill>
        </w:rPr>
        <w:t>等传统市场合作，拓展非洲、中东、中亚、南美等新兴市场。加强区域特色品牌推介，组织汽车零部件、特色农产品等领域企业参加国际专业展会。</w:t>
      </w:r>
    </w:p>
    <w:p w14:paraId="2B7B051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强化国内合作发展。</w:t>
      </w:r>
      <w:r>
        <w:rPr>
          <w:rFonts w:hint="eastAsia" w:ascii="Times New Roman" w:hAnsi="Times New Roman" w:cs="仿宋"/>
          <w:smallCaps w:val="0"/>
          <w:color w:val="000000" w:themeColor="text1"/>
          <w:szCs w:val="32"/>
          <w:highlight w:val="none"/>
          <w14:textFill>
            <w14:solidFill>
              <w14:schemeClr w14:val="tx1"/>
            </w14:solidFill>
          </w14:textFill>
        </w:rPr>
        <w:t>积极对接京津冀协同发展、长三角一体化、粤港澳大湾区等国家重大区域战略，立足资源禀赋和产业基础，与相关地区县区建立常态化合作机制，推动人才、信息共享，促进汽车、农产品加工、农业等重点领域协同发展。深化与浙江衢州、杭州萧山、天津蓟州等对口合作，聚焦汽车零部件、智慧物流等领域打造产业合作升级版。健全合作项目推进和政策复制推广机制，做大做强范家屯东北智慧物流园区、肉牛良种繁育融合示范产业园、吉浙（公主岭）产业园等平台载体。</w:t>
      </w:r>
    </w:p>
    <w:p w14:paraId="7639B9D3">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融入全省开放大局。</w:t>
      </w:r>
      <w:r>
        <w:rPr>
          <w:rFonts w:hint="eastAsia" w:ascii="Times New Roman" w:hAnsi="Times New Roman" w:cs="仿宋"/>
          <w:smallCaps w:val="0"/>
          <w:color w:val="000000" w:themeColor="text1"/>
          <w:szCs w:val="32"/>
          <w:highlight w:val="none"/>
          <w14:textFill>
            <w14:solidFill>
              <w14:schemeClr w14:val="tx1"/>
            </w14:solidFill>
          </w14:textFill>
        </w:rPr>
        <w:t>深度融入长吉图开发开放先导区战略，依托长春现代化都市圈建设，推动汽车零部件、农产品加工、物流、文旅等产业协同发展。引入吉林市、延边州民族食品、文化等资源，丰富本地文旅业态，推动鲜食玉米等特色产品纳入吉林、延边等地旅游产品体系。支持本地企业利用长吉图战略政策拓展“一带一路”东北亚市场，鼓励物流企业承接跨境电商物流业务。</w:t>
      </w:r>
    </w:p>
    <w:p w14:paraId="3282F264">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完善市企合作体系。</w:t>
      </w:r>
      <w:bookmarkStart w:id="207" w:name="_Toc23952"/>
      <w:r>
        <w:rPr>
          <w:rFonts w:hint="eastAsia" w:ascii="Times New Roman" w:hAnsi="Times New Roman" w:cs="仿宋"/>
          <w:smallCaps w:val="0"/>
          <w:color w:val="000000" w:themeColor="text1"/>
          <w:szCs w:val="32"/>
          <w:highlight w:val="none"/>
          <w14:textFill>
            <w14:solidFill>
              <w14:schemeClr w14:val="tx1"/>
            </w14:solidFill>
          </w14:textFill>
        </w:rPr>
        <w:t>加快融入全省央地合作体系，依托产业和区位优势，打造央地合作项目重要承载地。建立与省属、市属国有企业常态化合作机制，支持在公主岭投资布局、转化成果。建立与省内上市公司常态化交流机制，组织开展“上市公司公主岭行”等活动，提升上市公司投资意愿。适时举办面向“独角兽”“瞪羚”等创新企业的专项推介对接活动。</w:t>
      </w:r>
    </w:p>
    <w:p w14:paraId="6CF679A4">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08" w:name="_Toc31652"/>
      <w:bookmarkStart w:id="209" w:name="_Toc21767"/>
      <w:bookmarkStart w:id="210" w:name="_Toc7111"/>
      <w:bookmarkStart w:id="211" w:name="_Toc30595"/>
      <w:r>
        <w:rPr>
          <w:rFonts w:hint="eastAsia" w:ascii="Times New Roman" w:hAnsi="Times New Roman"/>
          <w:smallCaps w:val="0"/>
          <w:color w:val="000000" w:themeColor="text1"/>
          <w:highlight w:val="none"/>
          <w14:textFill>
            <w14:solidFill>
              <w14:schemeClr w14:val="tx1"/>
            </w14:solidFill>
          </w14:textFill>
        </w:rPr>
        <w:t>第五节 实施招商引资工程</w:t>
      </w:r>
      <w:bookmarkEnd w:id="208"/>
      <w:bookmarkEnd w:id="209"/>
      <w:bookmarkEnd w:id="210"/>
      <w:bookmarkEnd w:id="211"/>
    </w:p>
    <w:p w14:paraId="796D42B2">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创新招商引资模式。</w:t>
      </w:r>
      <w:r>
        <w:rPr>
          <w:rFonts w:hint="eastAsia" w:ascii="Times New Roman" w:hAnsi="Times New Roman" w:cs="仿宋"/>
          <w:smallCaps w:val="0"/>
          <w:color w:val="000000" w:themeColor="text1"/>
          <w:szCs w:val="32"/>
          <w:highlight w:val="none"/>
          <w14:textFill>
            <w14:solidFill>
              <w14:schemeClr w14:val="tx1"/>
            </w14:solidFill>
          </w14:textFill>
        </w:rPr>
        <w:t>建立健全产业链上下游项目库与客商库，绘制产业链和创新链招商图谱，推行链主企业招商、创新资源招商、“基金+产业”招商、“市场+资源+应用场景”招商等精准模式。充分发挥国家级农高区、省级开发区平台优势，开展分行业、分区域、分时段精准对接与协同服务。积极组织企业参加东博会、汽博会、农博会等国内重点展会。</w:t>
      </w:r>
    </w:p>
    <w:p w14:paraId="676A5C4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打造高端引资平台。</w:t>
      </w:r>
      <w:r>
        <w:rPr>
          <w:rFonts w:hint="eastAsia" w:ascii="Times New Roman" w:hAnsi="Times New Roman" w:cs="仿宋"/>
          <w:smallCaps w:val="0"/>
          <w:color w:val="000000" w:themeColor="text1"/>
          <w:szCs w:val="32"/>
          <w:highlight w:val="none"/>
          <w14:textFill>
            <w14:solidFill>
              <w14:schemeClr w14:val="tx1"/>
            </w14:solidFill>
          </w14:textFill>
        </w:rPr>
        <w:t>深化开发区体制机制改革，建立主导产业分类集聚与跨区域协同联动机制，完善产业转移和项目落地利益共享机制。进一步明晰开发区权责，强化经济管理权限。支持推行“管委会+公司”等市场化运营模式，建立健全以业绩为导向的绩效考核体系。健全存量资产盘活机制，稳妥化解开发区债务风险。推动各开发区实施精准招商：农高区聚焦现代农业前沿，引进全球优质农业科技项目；</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公主岭经济开发区</w:t>
      </w:r>
      <w:r>
        <w:rPr>
          <w:rFonts w:hint="eastAsia" w:ascii="Times New Roman" w:hAnsi="Times New Roman" w:cs="仿宋"/>
          <w:smallCaps w:val="0"/>
          <w:color w:val="000000" w:themeColor="text1"/>
          <w:szCs w:val="32"/>
          <w:highlight w:val="none"/>
          <w14:textFill>
            <w14:solidFill>
              <w14:schemeClr w14:val="tx1"/>
            </w14:solidFill>
          </w14:textFill>
        </w:rPr>
        <w:t>深度对接吉浙对口合作资源，探索“研发飞地”、交流基地等模式；</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长春大岭经济开发区</w:t>
      </w:r>
      <w:r>
        <w:rPr>
          <w:rFonts w:hint="eastAsia" w:ascii="Times New Roman" w:hAnsi="Times New Roman" w:cs="仿宋"/>
          <w:smallCaps w:val="0"/>
          <w:color w:val="000000" w:themeColor="text1"/>
          <w:szCs w:val="32"/>
          <w:highlight w:val="none"/>
          <w14:textFill>
            <w14:solidFill>
              <w14:schemeClr w14:val="tx1"/>
            </w14:solidFill>
          </w14:textFill>
        </w:rPr>
        <w:t>重点做强汽车物流与后市场服务，承接国内外汽车零部件产业转移。</w:t>
      </w:r>
    </w:p>
    <w:p w14:paraId="6BB6BBB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做好引资项目服务。</w:t>
      </w:r>
      <w:r>
        <w:rPr>
          <w:rFonts w:hint="eastAsia" w:ascii="Times New Roman" w:hAnsi="Times New Roman" w:cs="仿宋"/>
          <w:smallCaps w:val="0"/>
          <w:color w:val="000000" w:themeColor="text1"/>
          <w:szCs w:val="32"/>
          <w:highlight w:val="none"/>
          <w14:textFill>
            <w14:solidFill>
              <w14:schemeClr w14:val="tx1"/>
            </w14:solidFill>
          </w14:textFill>
        </w:rPr>
        <w:t>全面落实“用地清单制”、规划审批“豁免清单”等改革，强化工程建设项目全生命周期数字化管理。推动土地、资金、能耗、环境容量等要素资源向重点项目倾斜，加强市政配套和电力保障。加快推进一批优势产业延链补链强链项目，提质升级现代服务业集聚区，重点引进现代种业加工、科技成果转化等优质项目。</w:t>
      </w:r>
      <w:bookmarkEnd w:id="207"/>
    </w:p>
    <w:p w14:paraId="1E7B0561">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Times New Roman" w:hAnsi="Times New Roman" w:eastAsia="黑体"/>
          <w:bCs/>
          <w:smallCaps w:val="0"/>
          <w:color w:val="000000" w:themeColor="text1"/>
          <w:kern w:val="44"/>
          <w:szCs w:val="44"/>
          <w:highlight w:val="none"/>
          <w14:textFill>
            <w14:solidFill>
              <w14:schemeClr w14:val="tx1"/>
            </w14:solidFill>
          </w14:textFill>
        </w:rPr>
      </w:pPr>
      <w:bookmarkStart w:id="212" w:name="_Toc27823"/>
      <w:bookmarkStart w:id="213" w:name="_Toc6366"/>
    </w:p>
    <w:p w14:paraId="4C3679CD">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smallCaps w:val="0"/>
          <w:color w:val="000000" w:themeColor="text1"/>
          <w:highlight w:val="none"/>
          <w14:textFill>
            <w14:solidFill>
              <w14:schemeClr w14:val="tx1"/>
            </w14:solidFill>
          </w14:textFill>
        </w:rPr>
      </w:pPr>
      <w:bookmarkStart w:id="214" w:name="_Toc6579"/>
      <w:bookmarkStart w:id="215" w:name="_Toc18784"/>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八</w:t>
      </w:r>
      <w:r>
        <w:rPr>
          <w:rFonts w:hint="eastAsia" w:ascii="Times New Roman" w:hAnsi="Times New Roman"/>
          <w:smallCaps w:val="0"/>
          <w:color w:val="000000" w:themeColor="text1"/>
          <w:highlight w:val="none"/>
          <w14:textFill>
            <w14:solidFill>
              <w14:schemeClr w14:val="tx1"/>
            </w14:solidFill>
          </w14:textFill>
        </w:rPr>
        <w:t>章 突出创新驱动，提升科技创新精准度</w:t>
      </w:r>
      <w:bookmarkEnd w:id="212"/>
      <w:bookmarkEnd w:id="213"/>
      <w:bookmarkEnd w:id="214"/>
      <w:bookmarkEnd w:id="215"/>
    </w:p>
    <w:p w14:paraId="2EF8E18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none"/>
          <w14:textFill>
            <w14:solidFill>
              <w14:schemeClr w14:val="tx1"/>
            </w14:solidFill>
          </w14:textFill>
        </w:rPr>
      </w:pPr>
    </w:p>
    <w:p w14:paraId="004D7B9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实施科技创新能力提升工程，全面深化高质量科技供给，推动科技创新与产业创新深度融合，为实现“</w:t>
      </w:r>
      <w:r>
        <w:rPr>
          <w:rFonts w:hint="eastAsia" w:ascii="Times New Roman" w:hAnsi="Times New Roman" w:cs="仿宋"/>
          <w:smallCaps w:val="0"/>
          <w:color w:val="000000" w:themeColor="text1"/>
          <w:szCs w:val="32"/>
          <w:highlight w:val="none"/>
          <w:lang w:eastAsia="zh-CN"/>
          <w14:textFill>
            <w14:solidFill>
              <w14:schemeClr w14:val="tx1"/>
            </w14:solidFill>
          </w14:textFill>
        </w:rPr>
        <w:t>冲击</w:t>
      </w:r>
      <w:r>
        <w:rPr>
          <w:rFonts w:hint="eastAsia" w:ascii="Times New Roman" w:hAnsi="Times New Roman" w:cs="仿宋"/>
          <w:smallCaps w:val="0"/>
          <w:color w:val="000000" w:themeColor="text1"/>
          <w:szCs w:val="32"/>
          <w:highlight w:val="none"/>
          <w14:textFill>
            <w14:solidFill>
              <w14:schemeClr w14:val="tx1"/>
            </w14:solidFill>
          </w14:textFill>
        </w:rPr>
        <w:t>百强县”目标提供有力支撑。</w:t>
      </w:r>
    </w:p>
    <w:p w14:paraId="1B3BA105">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16" w:name="_Toc23921"/>
      <w:bookmarkStart w:id="217" w:name="_Toc12876"/>
      <w:bookmarkStart w:id="218" w:name="_Toc4707"/>
      <w:bookmarkStart w:id="219" w:name="_Toc14422"/>
      <w:bookmarkStart w:id="220" w:name="_Toc5037"/>
      <w:bookmarkStart w:id="221" w:name="_Toc8661"/>
      <w:bookmarkStart w:id="222" w:name="_Toc17462"/>
      <w:bookmarkStart w:id="223" w:name="_Toc10121"/>
      <w:r>
        <w:rPr>
          <w:rFonts w:hint="eastAsia" w:ascii="Times New Roman" w:hAnsi="Times New Roman"/>
          <w:smallCaps w:val="0"/>
          <w:color w:val="000000" w:themeColor="text1"/>
          <w:highlight w:val="none"/>
          <w14:textFill>
            <w14:solidFill>
              <w14:schemeClr w14:val="tx1"/>
            </w14:solidFill>
          </w14:textFill>
        </w:rPr>
        <w:t>第一节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实施科技创新能力</w:t>
      </w:r>
      <w:bookmarkEnd w:id="216"/>
      <w:bookmarkEnd w:id="217"/>
      <w:r>
        <w:rPr>
          <w:rFonts w:hint="eastAsia" w:ascii="Times New Roman" w:hAnsi="Times New Roman"/>
          <w:smallCaps w:val="0"/>
          <w:color w:val="000000" w:themeColor="text1"/>
          <w:highlight w:val="none"/>
          <w14:textFill>
            <w14:solidFill>
              <w14:schemeClr w14:val="tx1"/>
            </w14:solidFill>
          </w14:textFill>
        </w:rPr>
        <w:t>提升工程</w:t>
      </w:r>
      <w:bookmarkEnd w:id="218"/>
      <w:bookmarkEnd w:id="219"/>
      <w:bookmarkEnd w:id="220"/>
      <w:bookmarkEnd w:id="221"/>
      <w:bookmarkEnd w:id="222"/>
      <w:bookmarkEnd w:id="223"/>
    </w:p>
    <w:p w14:paraId="6E5771A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强化创新体系顶层设计。</w:t>
      </w:r>
      <w:r>
        <w:rPr>
          <w:rFonts w:hint="eastAsia" w:ascii="Times New Roman" w:hAnsi="Times New Roman" w:cs="仿宋"/>
          <w:smallCaps w:val="0"/>
          <w:color w:val="000000" w:themeColor="text1"/>
          <w:szCs w:val="32"/>
          <w:highlight w:val="none"/>
          <w14:textFill>
            <w14:solidFill>
              <w14:schemeClr w14:val="tx1"/>
            </w14:solidFill>
          </w14:textFill>
        </w:rPr>
        <w:t>建立健全由市委科技委员会高位统筹的科技创新领导机制，配合制定全市科技创新中长期发展规划</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健全精准激励机制，强化各类要素资源的跨区域、跨行业统筹调度，引导创新资源向重大科技项目集聚</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积极引入省市科技智库力量参与顶层设计。</w:t>
      </w:r>
    </w:p>
    <w:p w14:paraId="1F420CC7">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融入区域协同创新体系。</w:t>
      </w:r>
      <w:r>
        <w:rPr>
          <w:rFonts w:hint="eastAsia" w:ascii="Times New Roman" w:hAnsi="Times New Roman" w:cs="仿宋"/>
          <w:smallCaps w:val="0"/>
          <w:color w:val="000000" w:themeColor="text1"/>
          <w:szCs w:val="32"/>
          <w:highlight w:val="none"/>
          <w14:textFill>
            <w14:solidFill>
              <w14:schemeClr w14:val="tx1"/>
            </w14:solidFill>
          </w14:textFill>
        </w:rPr>
        <w:t>引导全市创新资源向三大经济主战场集聚。依托主城区与农高区双向联动，围绕生物育种、智能农业装备等领域建设农业高新技术产业创新中心；依托</w:t>
      </w:r>
      <w:r>
        <w:rPr>
          <w:rFonts w:hint="eastAsia" w:ascii="Times New Roman" w:hAnsi="Times New Roman" w:cs="仿宋"/>
          <w:smallCaps w:val="0"/>
          <w:color w:val="000000" w:themeColor="text1"/>
          <w:szCs w:val="32"/>
          <w:highlight w:val="none"/>
          <w:lang w:eastAsia="zh-CN"/>
          <w14:textFill>
            <w14:solidFill>
              <w14:schemeClr w14:val="tx1"/>
            </w14:solidFill>
          </w14:textFill>
        </w:rPr>
        <w:t>公主岭经济开发区</w:t>
      </w:r>
      <w:r>
        <w:rPr>
          <w:rFonts w:hint="eastAsia" w:ascii="Times New Roman" w:hAnsi="Times New Roman" w:cs="仿宋"/>
          <w:smallCaps w:val="0"/>
          <w:color w:val="000000" w:themeColor="text1"/>
          <w:szCs w:val="32"/>
          <w:highlight w:val="none"/>
          <w14:textFill>
            <w14:solidFill>
              <w14:schemeClr w14:val="tx1"/>
            </w14:solidFill>
          </w14:textFill>
        </w:rPr>
        <w:t>、</w:t>
      </w:r>
      <w:r>
        <w:rPr>
          <w:rFonts w:hint="eastAsia" w:ascii="Times New Roman" w:hAnsi="Times New Roman" w:cs="仿宋"/>
          <w:smallCaps w:val="0"/>
          <w:color w:val="000000" w:themeColor="text1"/>
          <w:szCs w:val="32"/>
          <w:highlight w:val="none"/>
          <w:lang w:eastAsia="zh-CN"/>
          <w14:textFill>
            <w14:solidFill>
              <w14:schemeClr w14:val="tx1"/>
            </w14:solidFill>
          </w14:textFill>
        </w:rPr>
        <w:t>长春大岭经济开发区</w:t>
      </w:r>
      <w:r>
        <w:rPr>
          <w:rFonts w:hint="eastAsia" w:ascii="Times New Roman" w:hAnsi="Times New Roman" w:cs="仿宋"/>
          <w:smallCaps w:val="0"/>
          <w:color w:val="000000" w:themeColor="text1"/>
          <w:szCs w:val="32"/>
          <w:highlight w:val="none"/>
          <w14:textFill>
            <w14:solidFill>
              <w14:schemeClr w14:val="tx1"/>
            </w14:solidFill>
          </w14:textFill>
        </w:rPr>
        <w:t>，围绕汽车零部件、现代物流等领域打造装备制造、智慧物流等新型产业创新极。</w:t>
      </w:r>
    </w:p>
    <w:p w14:paraId="662D7DB4">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加强产学研用协同创新。</w:t>
      </w:r>
      <w:r>
        <w:rPr>
          <w:rFonts w:hint="eastAsia" w:ascii="Times New Roman" w:hAnsi="Times New Roman" w:cs="仿宋"/>
          <w:smallCaps w:val="0"/>
          <w:color w:val="000000" w:themeColor="text1"/>
          <w:szCs w:val="32"/>
          <w:highlight w:val="none"/>
          <w14:textFill>
            <w14:solidFill>
              <w14:schemeClr w14:val="tx1"/>
            </w14:solidFill>
          </w14:textFill>
        </w:rPr>
        <w:t>构建以企业为主体、高校院所紧密协作的产学研用一体化创新网络，推动创新链、产业链、人才链深度融合，营造大中小企业协同共生的创新生态。支持农机企业与省农业机械研究院合作开展西部耕地产能提升与资源高效利用技术研究，实现水肥精准管理。支持种业企业联合吉林农大等科研院所，联合攻关玉米、水稻等种质资源创新。深化与省农科院、</w:t>
      </w:r>
      <w:r>
        <w:rPr>
          <w:rFonts w:hint="eastAsia" w:ascii="Times New Roman" w:hAnsi="Times New Roman" w:cs="仿宋"/>
          <w:smallCaps w:val="0"/>
          <w:color w:val="000000" w:themeColor="text1"/>
          <w:szCs w:val="32"/>
          <w:highlight w:val="none"/>
          <w:lang w:eastAsia="zh-CN"/>
          <w14:textFill>
            <w14:solidFill>
              <w14:schemeClr w14:val="tx1"/>
            </w14:solidFill>
          </w14:textFill>
        </w:rPr>
        <w:t>中国科学院</w:t>
      </w:r>
      <w:r>
        <w:rPr>
          <w:rFonts w:hint="eastAsia" w:ascii="Times New Roman" w:hAnsi="Times New Roman" w:cs="仿宋"/>
          <w:smallCaps w:val="0"/>
          <w:color w:val="000000" w:themeColor="text1"/>
          <w:szCs w:val="32"/>
          <w:highlight w:val="none"/>
          <w14:textFill>
            <w14:solidFill>
              <w14:schemeClr w14:val="tx1"/>
            </w14:solidFill>
          </w14:textFill>
        </w:rPr>
        <w:t>长春分院等机构合作，探索“揭榜挂帅”等机制，共建产学研融合平台。</w:t>
      </w:r>
    </w:p>
    <w:p w14:paraId="59AC0BF1">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24" w:name="_Toc7065"/>
      <w:bookmarkStart w:id="225" w:name="_Toc25571"/>
      <w:bookmarkStart w:id="226" w:name="_Toc17961"/>
      <w:bookmarkStart w:id="227" w:name="_Toc13373"/>
      <w:bookmarkStart w:id="228" w:name="_Toc20673"/>
      <w:bookmarkStart w:id="229" w:name="_Toc24909"/>
      <w:bookmarkStart w:id="230" w:name="_Toc21290"/>
      <w:bookmarkStart w:id="231" w:name="_Toc4837"/>
      <w:r>
        <w:rPr>
          <w:rFonts w:hint="eastAsia" w:ascii="Times New Roman" w:hAnsi="Times New Roman"/>
          <w:smallCaps w:val="0"/>
          <w:color w:val="000000" w:themeColor="text1"/>
          <w:highlight w:val="none"/>
          <w14:textFill>
            <w14:solidFill>
              <w14:schemeClr w14:val="tx1"/>
            </w14:solidFill>
          </w14:textFill>
        </w:rPr>
        <w:t>第二节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推动</w:t>
      </w:r>
      <w:r>
        <w:rPr>
          <w:rFonts w:hint="eastAsia" w:ascii="Times New Roman" w:hAnsi="Times New Roman"/>
          <w:smallCaps w:val="0"/>
          <w:color w:val="000000" w:themeColor="text1"/>
          <w:highlight w:val="none"/>
          <w14:textFill>
            <w14:solidFill>
              <w14:schemeClr w14:val="tx1"/>
            </w14:solidFill>
          </w14:textFill>
        </w:rPr>
        <w:t>科技创新</w:t>
      </w:r>
      <w:r>
        <w:rPr>
          <w:rFonts w:hint="eastAsia" w:ascii="Times New Roman" w:hAnsi="Times New Roman"/>
          <w:smallCaps w:val="0"/>
          <w:color w:val="000000" w:themeColor="text1"/>
          <w:highlight w:val="none"/>
          <w:lang w:eastAsia="zh-CN"/>
          <w14:textFill>
            <w14:solidFill>
              <w14:schemeClr w14:val="tx1"/>
            </w14:solidFill>
          </w14:textFill>
        </w:rPr>
        <w:t>与</w:t>
      </w:r>
      <w:r>
        <w:rPr>
          <w:rFonts w:hint="eastAsia" w:ascii="Times New Roman" w:hAnsi="Times New Roman"/>
          <w:smallCaps w:val="0"/>
          <w:color w:val="000000" w:themeColor="text1"/>
          <w:highlight w:val="none"/>
          <w14:textFill>
            <w14:solidFill>
              <w14:schemeClr w14:val="tx1"/>
            </w14:solidFill>
          </w14:textFill>
        </w:rPr>
        <w:t>产业创新深度融合</w:t>
      </w:r>
      <w:bookmarkEnd w:id="224"/>
      <w:bookmarkEnd w:id="225"/>
      <w:bookmarkEnd w:id="226"/>
      <w:bookmarkEnd w:id="227"/>
      <w:bookmarkEnd w:id="228"/>
      <w:bookmarkEnd w:id="229"/>
      <w:bookmarkEnd w:id="230"/>
      <w:bookmarkEnd w:id="231"/>
    </w:p>
    <w:p w14:paraId="46B498E5">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强化企业创新主体地位。</w:t>
      </w:r>
      <w:r>
        <w:rPr>
          <w:rFonts w:hint="eastAsia" w:ascii="Times New Roman" w:hAnsi="Times New Roman" w:cs="仿宋"/>
          <w:smallCaps w:val="0"/>
          <w:color w:val="000000" w:themeColor="text1"/>
          <w:szCs w:val="32"/>
          <w:highlight w:val="none"/>
          <w14:textFill>
            <w14:solidFill>
              <w14:schemeClr w14:val="tx1"/>
            </w14:solidFill>
          </w14:textFill>
        </w:rPr>
        <w:t>积极培育研发能力强、成长性好的科技型中小企业，推动符合条件的科技型企业“应评尽评”。聚焦汽车零部件、玉米深加工等重点领域，开展高新技术企业、雏鹰、瞪羚、独角兽等企业组织评定，引导人才、资金、专利等创新要素向企业集聚。</w:t>
      </w:r>
    </w:p>
    <w:p w14:paraId="5A9265B3">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发挥人才创新引领作用。</w:t>
      </w:r>
      <w:r>
        <w:rPr>
          <w:rFonts w:hint="eastAsia" w:ascii="Times New Roman" w:hAnsi="Times New Roman" w:cs="仿宋"/>
          <w:smallCaps w:val="0"/>
          <w:color w:val="000000" w:themeColor="text1"/>
          <w:szCs w:val="32"/>
          <w:highlight w:val="none"/>
          <w14:textFill>
            <w14:solidFill>
              <w14:schemeClr w14:val="tx1"/>
            </w14:solidFill>
          </w14:textFill>
        </w:rPr>
        <w:t>推动企业与高校院所精准对接，支持高校院所科技人才到企业担任“科创专员”，提升企业创新能力，加速成果转化。鼓励本地创新创业人才到吉林大学、长春理工大学等高校担任“产业教授”，打造具有公主岭特色的“产业教授”队伍。积极引进院士、专家来岭设立院士（专家）工作站，联合开展关键核心技术攻关，加快科技成果产业化。</w:t>
      </w:r>
    </w:p>
    <w:p w14:paraId="3A53947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b/>
          <w:bCs/>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强化创新平台支撑作用。</w:t>
      </w:r>
      <w:r>
        <w:rPr>
          <w:rFonts w:hint="eastAsia" w:ascii="Times New Roman" w:hAnsi="Times New Roman" w:cs="仿宋"/>
          <w:smallCaps w:val="0"/>
          <w:color w:val="000000" w:themeColor="text1"/>
          <w:szCs w:val="32"/>
          <w:highlight w:val="none"/>
          <w14:textFill>
            <w14:solidFill>
              <w14:schemeClr w14:val="tx1"/>
            </w14:solidFill>
          </w14:textFill>
        </w:rPr>
        <w:t>加快建设农高区现代农业数智设施示范园、智慧农业创新中心等项目，打造集高效种植、精准管理、示范推广于一体的农业公共创新平台。支持种业生物育种实验室、生物育种研发中心等企业研发平台建设，突破基因编辑、全基因组选择等关键技术，构建模块化现代育种体系。依托龙头企业技术中心，深化与高校院所合作，提升产业整体创新能力。</w:t>
      </w:r>
    </w:p>
    <w:p w14:paraId="3D764B79">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项目支撑</w:t>
      </w:r>
      <w:r>
        <w:rPr>
          <w:rFonts w:hint="eastAsia" w:ascii="Times New Roman" w:hAnsi="Times New Roman" w:cs="仿宋"/>
          <w:b/>
          <w:bCs/>
          <w:smallCaps w:val="0"/>
          <w:color w:val="000000" w:themeColor="text1"/>
          <w:szCs w:val="32"/>
          <w:highlight w:val="none"/>
          <w14:textFill>
            <w14:solidFill>
              <w14:schemeClr w14:val="tx1"/>
            </w14:solidFill>
          </w14:textFill>
        </w:rPr>
        <w:t>驱动产业发展。</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着力谋划一批面向国家、省和长春市实施产业创新工程和新技术新产品新场景大规模应用示范行动的科技创新项目，融入长春市“5616”科创行动计划</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聚焦汽车及汽车零部件产业，围绕关键材料改良、核心器件攻关、制造工艺革新等方向，推动数字化智能焊接总成车间项目落地；聚焦农产品精深加工产业，突破精深加工与高值化利用共性技术，推进国家合成生物技术创新中心吉林农高区成果转化示范基地项目建设；聚焦现代种业产业，围绕分子标记辅助育种、分子标记辅助选择、聚合育种、品种真实性检测、种子纯度检测等关键技术，加快推进种业生物育种实验室</w:t>
      </w:r>
      <w:r>
        <w:rPr>
          <w:rFonts w:hint="eastAsia" w:ascii="Times New Roman" w:hAnsi="Times New Roman" w:cs="仿宋"/>
          <w:smallCaps w:val="0"/>
          <w:color w:val="000000" w:themeColor="text1"/>
          <w:szCs w:val="32"/>
          <w:highlight w:val="none"/>
          <w:lang w:eastAsia="zh-CN"/>
          <w14:textFill>
            <w14:solidFill>
              <w14:schemeClr w14:val="tx1"/>
            </w14:solidFill>
          </w14:textFill>
        </w:rPr>
        <w:t>和</w:t>
      </w:r>
      <w:r>
        <w:rPr>
          <w:rFonts w:hint="eastAsia" w:ascii="Times New Roman" w:hAnsi="Times New Roman" w:cs="仿宋"/>
          <w:smallCaps w:val="0"/>
          <w:color w:val="000000" w:themeColor="text1"/>
          <w:szCs w:val="32"/>
          <w:highlight w:val="none"/>
          <w14:textFill>
            <w14:solidFill>
              <w14:schemeClr w14:val="tx1"/>
            </w14:solidFill>
          </w14:textFill>
        </w:rPr>
        <w:t>育种研发中心建设；聚焦农业服务产业，开展智能农机装备核心技术攻关，推进智能激光除草技术研发项目转化应用；聚焦新材料产业，紧盯建筑新材料技术攻坚方向，组织实施玻璃棉保温材料、制备工艺及应用转化项目。</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密切与长春国家自主创新示范区合作，推动</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科技创新与产业创新深度融合</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，打造哈长沈大产业科技创新走廊重要节点。</w:t>
      </w:r>
    </w:p>
    <w:p w14:paraId="4859626A">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32" w:name="_Toc21375"/>
      <w:bookmarkStart w:id="233" w:name="_Toc17868"/>
      <w:bookmarkStart w:id="234" w:name="_Toc26396"/>
      <w:bookmarkStart w:id="235" w:name="_Toc30867"/>
      <w:bookmarkStart w:id="236" w:name="_Toc22405"/>
      <w:bookmarkStart w:id="237" w:name="_Toc13601"/>
      <w:bookmarkStart w:id="238" w:name="_Toc24013"/>
      <w:r>
        <w:rPr>
          <w:rFonts w:hint="eastAsia" w:ascii="Times New Roman" w:hAnsi="Times New Roman"/>
          <w:smallCaps w:val="0"/>
          <w:color w:val="000000" w:themeColor="text1"/>
          <w:highlight w:val="none"/>
          <w14:textFill>
            <w14:solidFill>
              <w14:schemeClr w14:val="tx1"/>
            </w14:solidFill>
          </w14:textFill>
        </w:rPr>
        <w:t>第三节 打造活力彰显科技创新生态</w:t>
      </w:r>
      <w:bookmarkEnd w:id="232"/>
      <w:bookmarkEnd w:id="233"/>
      <w:bookmarkEnd w:id="234"/>
      <w:bookmarkEnd w:id="235"/>
      <w:bookmarkEnd w:id="236"/>
      <w:bookmarkEnd w:id="237"/>
      <w:bookmarkEnd w:id="238"/>
    </w:p>
    <w:p w14:paraId="770F20C2">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推广科创知识普及。</w:t>
      </w:r>
      <w:r>
        <w:rPr>
          <w:rFonts w:hint="eastAsia" w:ascii="Times New Roman" w:hAnsi="Times New Roman" w:cs="仿宋"/>
          <w:smallCaps w:val="0"/>
          <w:color w:val="000000" w:themeColor="text1"/>
          <w:szCs w:val="32"/>
          <w:highlight w:val="none"/>
          <w14:textFill>
            <w14:solidFill>
              <w14:schemeClr w14:val="tx1"/>
            </w14:solidFill>
          </w14:textFill>
        </w:rPr>
        <w:t xml:space="preserve">打造特色科普品牌，持续开展“科技活动周”“全国科普日”“企业科技服务”等活动。依托科普场馆、农业科技示范园等载体，推广保护性耕作、生物育种、食品安全、数字经济等新技术与科学知识，提升公众科技认知水平。 </w:t>
      </w:r>
    </w:p>
    <w:p w14:paraId="66BBAF00">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提高群众科技素养。</w:t>
      </w:r>
      <w:r>
        <w:rPr>
          <w:rFonts w:hint="eastAsia" w:ascii="Times New Roman" w:hAnsi="Times New Roman" w:cs="仿宋"/>
          <w:smallCaps w:val="0"/>
          <w:color w:val="000000" w:themeColor="text1"/>
          <w:szCs w:val="32"/>
          <w:highlight w:val="none"/>
          <w14:textFill>
            <w14:solidFill>
              <w14:schemeClr w14:val="tx1"/>
            </w14:solidFill>
          </w14:textFill>
        </w:rPr>
        <w:t>加强农民技术培训，培育新型职业农民，重点开展智能农机操作、电商技能、玉米高产栽培、黑土地保护等实用技术培训。面向企业职工，开展智能制造、工业互联网、“智改数转”等专项培训。通过分类施策，提升科技政策理解与应用能力，推动公民科学素质比例显著提高。</w:t>
      </w:r>
    </w:p>
    <w:p w14:paraId="03FE29D6">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优化创新服务环境。</w:t>
      </w:r>
      <w:r>
        <w:rPr>
          <w:rFonts w:hint="eastAsia" w:ascii="Times New Roman" w:hAnsi="Times New Roman" w:cs="仿宋"/>
          <w:smallCaps w:val="0"/>
          <w:color w:val="000000" w:themeColor="text1"/>
          <w:szCs w:val="32"/>
          <w:highlight w:val="none"/>
          <w14:textFill>
            <w14:solidFill>
              <w14:schemeClr w14:val="tx1"/>
            </w14:solidFill>
          </w14:textFill>
        </w:rPr>
        <w:t xml:space="preserve">强化知识产权全链条保护，严厉打击侵权行为，完善快速维权机制。推动企业开展专利导航，探索知识产权质押融资，促进高价值专利创造与转化。简化科研项目管理，落实研发费用加计扣除等普惠政策，确保科技企业应享尽享、服务高效便捷。 </w:t>
      </w:r>
    </w:p>
    <w:p w14:paraId="62FC29B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繁荣科技创新文化。</w:t>
      </w:r>
      <w:r>
        <w:rPr>
          <w:rFonts w:hint="eastAsia" w:ascii="Times New Roman" w:hAnsi="Times New Roman" w:cs="仿宋"/>
          <w:smallCaps w:val="0"/>
          <w:color w:val="000000" w:themeColor="text1"/>
          <w:szCs w:val="32"/>
          <w:highlight w:val="none"/>
          <w14:textFill>
            <w14:solidFill>
              <w14:schemeClr w14:val="tx1"/>
            </w14:solidFill>
          </w14:textFill>
        </w:rPr>
        <w:t>弘扬科学家精神，宣传生物育种、汽车轻量化研发等创新团队先进事迹，营造尊重创新、鼓励创造的社会氛围。组织企业参加“科技创新大赛”“成果转化路演”等活动，推动创新文化与产业实践深度融合，打造“创新驱动、全域协同”的县域创新生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585B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9071" w:type="dxa"/>
            <w:vAlign w:val="center"/>
          </w:tcPr>
          <w:p w14:paraId="5DB75531">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9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科技创新项目</w:t>
            </w:r>
          </w:p>
          <w:p w14:paraId="24F79110">
            <w:pPr>
              <w:pStyle w:val="21"/>
              <w:spacing w:line="340" w:lineRule="exact"/>
              <w:ind w:firstLine="422"/>
              <w:jc w:val="left"/>
              <w:rPr>
                <w:rFonts w:hint="default" w:ascii="Times New Roman" w:hAnsi="Times New Roman"/>
                <w:b/>
                <w:bCs/>
                <w:smallCaps w:val="0"/>
                <w:color w:val="000000" w:themeColor="text1"/>
                <w:highlight w:val="none"/>
                <w14:textFill>
                  <w14:solidFill>
                    <w14:schemeClr w14:val="tx1"/>
                  </w14:solidFill>
                </w14:textFill>
              </w:rPr>
            </w:pPr>
          </w:p>
          <w:p w14:paraId="0C7B1E1C">
            <w:pPr>
              <w:pStyle w:val="21"/>
              <w:spacing w:line="340" w:lineRule="exact"/>
              <w:ind w:firstLine="482"/>
              <w:rPr>
                <w:rFonts w:hint="default" w:ascii="Times New Roman" w:hAnsi="Times New Roman"/>
                <w:smallCaps w:val="0"/>
                <w:color w:val="000000" w:themeColor="text1"/>
                <w:highlight w:val="none"/>
                <w14:textFill>
                  <w14:solidFill>
                    <w14:schemeClr w14:val="tx1"/>
                  </w14:solidFill>
                </w14:textFill>
              </w:rPr>
            </w:pPr>
            <w:r>
              <w:rPr>
                <w:rFonts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ascii="Times New Roman" w:hAnsi="Times New Roman" w:eastAsia="仿宋" w:cs="仿宋"/>
                <w:smallCaps w:val="0"/>
                <w:color w:val="000000" w:themeColor="text1"/>
                <w:sz w:val="24"/>
                <w:szCs w:val="24"/>
                <w:highlight w:val="none"/>
                <w14:textFill>
                  <w14:solidFill>
                    <w14:schemeClr w14:val="tx1"/>
                  </w14:solidFill>
                </w14:textFill>
              </w:rPr>
              <w:t>农高区成果转化示范基地、</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激光除草、</w:t>
            </w:r>
            <w:r>
              <w:rPr>
                <w:rFonts w:ascii="Times New Roman" w:hAnsi="Times New Roman" w:eastAsia="仿宋" w:cs="仿宋"/>
                <w:smallCaps w:val="0"/>
                <w:color w:val="000000" w:themeColor="text1"/>
                <w:sz w:val="24"/>
                <w:szCs w:val="24"/>
                <w:highlight w:val="none"/>
                <w14:textFill>
                  <w14:solidFill>
                    <w14:schemeClr w14:val="tx1"/>
                  </w14:solidFill>
                </w14:textFill>
              </w:rPr>
              <w:t>玻璃棉保温材料制备工艺及应用的应用转化、科技创新孵化基地、智能物联网及终端产品研发制造、人工智能、种粮一体化平台、通用航空应用技术研发与生产建设等项目建设。</w:t>
            </w:r>
          </w:p>
        </w:tc>
      </w:tr>
    </w:tbl>
    <w:p w14:paraId="7E57C786">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39" w:name="_Toc537"/>
      <w:bookmarkStart w:id="240" w:name="_Toc20001"/>
      <w:bookmarkStart w:id="241" w:name="_Toc23175"/>
    </w:p>
    <w:p w14:paraId="075463F0">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smallCaps w:val="0"/>
          <w:color w:val="000000" w:themeColor="text1"/>
          <w:highlight w:val="none"/>
          <w:lang w:val="en-US" w:eastAsia="zh-CN"/>
          <w14:textFill>
            <w14:solidFill>
              <w14:schemeClr w14:val="tx1"/>
            </w14:solidFill>
          </w14:textFill>
        </w:rPr>
      </w:pPr>
      <w:bookmarkStart w:id="242" w:name="_Toc242"/>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九</w:t>
      </w:r>
      <w:r>
        <w:rPr>
          <w:rFonts w:hint="eastAsia" w:ascii="Times New Roman" w:hAnsi="Times New Roman"/>
          <w:smallCaps w:val="0"/>
          <w:color w:val="000000" w:themeColor="text1"/>
          <w:highlight w:val="none"/>
          <w14:textFill>
            <w14:solidFill>
              <w14:schemeClr w14:val="tx1"/>
            </w14:solidFill>
          </w14:textFill>
        </w:rPr>
        <w:t xml:space="preserve">章 </w:t>
      </w:r>
      <w:r>
        <w:rPr>
          <w:rFonts w:hint="eastAsia" w:ascii="Times New Roman" w:hAnsi="Times New Roman"/>
          <w:smallCaps w:val="0"/>
          <w:color w:val="000000" w:themeColor="text1"/>
          <w:szCs w:val="32"/>
          <w:highlight w:val="none"/>
          <w14:textFill>
            <w14:solidFill>
              <w14:schemeClr w14:val="tx1"/>
            </w14:solidFill>
          </w14:textFill>
        </w:rPr>
        <w:t>完善生态环境治理体系</w:t>
      </w:r>
      <w:r>
        <w:rPr>
          <w:rFonts w:hint="eastAsia" w:ascii="Times New Roman" w:hAnsi="Times New Roman"/>
          <w:smallCaps w:val="0"/>
          <w:color w:val="000000" w:themeColor="text1"/>
          <w:highlight w:val="none"/>
          <w14:textFill>
            <w14:solidFill>
              <w14:schemeClr w14:val="tx1"/>
            </w14:solidFill>
          </w14:textFill>
        </w:rPr>
        <w:t>，着力建设美丽公主岭</w:t>
      </w:r>
      <w:bookmarkEnd w:id="239"/>
      <w:bookmarkEnd w:id="240"/>
      <w:bookmarkEnd w:id="241"/>
      <w:bookmarkEnd w:id="242"/>
    </w:p>
    <w:p w14:paraId="21E29021">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smallCaps w:val="0"/>
          <w:color w:val="000000" w:themeColor="text1"/>
          <w:szCs w:val="32"/>
          <w:highlight w:val="none"/>
          <w14:textFill>
            <w14:solidFill>
              <w14:schemeClr w14:val="tx1"/>
            </w14:solidFill>
          </w14:textFill>
        </w:rPr>
      </w:pPr>
      <w:bookmarkStart w:id="243" w:name="_Toc2118889270"/>
      <w:bookmarkStart w:id="244" w:name="_Toc1980411647"/>
      <w:bookmarkStart w:id="245" w:name="_Toc14894"/>
    </w:p>
    <w:bookmarkEnd w:id="243"/>
    <w:bookmarkEnd w:id="244"/>
    <w:bookmarkEnd w:id="245"/>
    <w:p w14:paraId="6CCFCFA6">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red"/>
          <w14:textFill>
            <w14:solidFill>
              <w14:schemeClr w14:val="tx1"/>
            </w14:solidFill>
          </w14:textFill>
        </w:rPr>
      </w:pPr>
      <w:r>
        <w:rPr>
          <w:rFonts w:hint="eastAsia" w:ascii="Times New Roman" w:hAnsi="Times New Roman" w:cs="仿宋"/>
          <w:smallCaps w:val="0"/>
          <w:color w:val="000000"/>
          <w:szCs w:val="32"/>
          <w:highlight w:val="none"/>
        </w:rPr>
        <w:t>以建设美丽公主岭为战略目标，全面加强生态文明制度建设，持续完善生态环境现代化治理体系，</w:t>
      </w:r>
      <w:r>
        <w:rPr>
          <w:rFonts w:hint="eastAsia" w:ascii="Times New Roman" w:hAnsi="Times New Roman" w:cs="仿宋"/>
          <w:smallCaps w:val="0"/>
          <w:color w:val="000000"/>
          <w:szCs w:val="32"/>
          <w:highlight w:val="none"/>
          <w:lang w:eastAsia="zh-CN"/>
        </w:rPr>
        <w:t>深入打好蓝天、碧水、净土保卫战</w:t>
      </w:r>
      <w:r>
        <w:rPr>
          <w:rFonts w:hint="eastAsia" w:ascii="Times New Roman" w:hAnsi="Times New Roman" w:cs="仿宋"/>
          <w:smallCaps w:val="0"/>
          <w:color w:val="000000"/>
          <w:szCs w:val="32"/>
          <w:highlight w:val="none"/>
        </w:rPr>
        <w:t>，以高品质生态支撑高质量发展，</w:t>
      </w:r>
      <w:r>
        <w:rPr>
          <w:rFonts w:hint="eastAsia" w:ascii="Times New Roman" w:hAnsi="Times New Roman"/>
          <w:smallCaps w:val="0"/>
          <w:szCs w:val="32"/>
          <w:highlight w:val="none"/>
        </w:rPr>
        <w:t>实现人与自然和谐共生。</w:t>
      </w:r>
    </w:p>
    <w:p w14:paraId="6D14C0E3">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246" w:name="_Toc22277"/>
      <w:bookmarkStart w:id="247" w:name="_Toc18938"/>
      <w:bookmarkStart w:id="248" w:name="_Toc21980"/>
      <w:bookmarkStart w:id="249" w:name="_Toc18555"/>
      <w:bookmarkStart w:id="250" w:name="_Toc5809"/>
      <w:bookmarkStart w:id="251" w:name="_Toc8306"/>
      <w:bookmarkStart w:id="252" w:name="_Toc450642689"/>
      <w:bookmarkStart w:id="253" w:name="_Toc933"/>
      <w:bookmarkStart w:id="254" w:name="_Toc929506276"/>
      <w:bookmarkStart w:id="255" w:name="_Toc386"/>
      <w:r>
        <w:rPr>
          <w:rFonts w:hint="eastAsia" w:ascii="Times New Roman" w:hAnsi="Times New Roman"/>
          <w:smallCaps w:val="0"/>
          <w:color w:val="000000" w:themeColor="text1"/>
          <w:highlight w:val="none"/>
          <w14:textFill>
            <w14:solidFill>
              <w14:schemeClr w14:val="tx1"/>
            </w14:solidFill>
          </w14:textFill>
        </w:rPr>
        <w:t xml:space="preserve">第一节 </w:t>
      </w:r>
      <w:r>
        <w:rPr>
          <w:rFonts w:hint="eastAsia" w:ascii="Times New Roman" w:hAnsi="Times New Roman"/>
          <w:smallCaps w:val="0"/>
          <w:color w:val="000000" w:themeColor="text1"/>
          <w:highlight w:val="none"/>
          <w:lang w:val="en-US" w:eastAsia="zh-CN"/>
          <w14:textFill>
            <w14:solidFill>
              <w14:schemeClr w14:val="tx1"/>
            </w14:solidFill>
          </w14:textFill>
        </w:rPr>
        <w:t>努力实现</w:t>
      </w:r>
      <w:r>
        <w:rPr>
          <w:rFonts w:hint="eastAsia" w:ascii="Times New Roman" w:hAnsi="Times New Roman"/>
          <w:smallCaps w:val="0"/>
          <w:color w:val="000000" w:themeColor="text1"/>
          <w:highlight w:val="none"/>
          <w14:textFill>
            <w14:solidFill>
              <w14:schemeClr w14:val="tx1"/>
            </w14:solidFill>
          </w14:textFill>
        </w:rPr>
        <w:t>碳达峰</w:t>
      </w:r>
      <w:bookmarkEnd w:id="246"/>
      <w:bookmarkEnd w:id="247"/>
      <w:bookmarkEnd w:id="248"/>
    </w:p>
    <w:p w14:paraId="07A8C78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rPr>
      </w:pPr>
      <w:r>
        <w:rPr>
          <w:rFonts w:hint="eastAsia" w:ascii="Times New Roman" w:hAnsi="Times New Roman" w:cs="仿宋"/>
          <w:b/>
          <w:bCs/>
          <w:smallCaps w:val="0"/>
          <w:color w:val="000000" w:themeColor="text1"/>
          <w:szCs w:val="32"/>
          <w:highlight w:val="none"/>
          <w14:textFill>
            <w14:solidFill>
              <w14:schemeClr w14:val="tx1"/>
            </w14:solidFill>
          </w14:textFill>
        </w:rPr>
        <w:t>巩固提升碳汇能力。</w:t>
      </w:r>
      <w:r>
        <w:rPr>
          <w:rFonts w:hint="eastAsia" w:ascii="Times New Roman" w:hAnsi="Times New Roman"/>
          <w:smallCaps w:val="0"/>
        </w:rPr>
        <w:t>夯实生态系统碳汇基础，严格国土空间开发保护格局和用途管制。巩固生态系统固碳作用，充分利用农业固碳能力，持续提高森林质量、林木蓄积量和草原综合植被盖度。科学制定地区碳达峰行动方案，鼓励经开区、农高区等重点园区争创国家级碳达峰试点示范，开展项目用能和碳排放情况综合评价。探索开展零碳智慧物流等碳达峰新路径、新模式。推进碳汇林业建设，推动建立以绿色低碳为导向的城乡规划建设管理机制，建立健全地方碳考核、行业碳管控、企业碳管理、项目碳评价、产品碳足迹等政策机制，建设绿色城镇、绿色社区。</w:t>
      </w:r>
    </w:p>
    <w:p w14:paraId="6C5FB630">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推进绿色低碳转型。</w:t>
      </w:r>
      <w:r>
        <w:rPr>
          <w:rFonts w:hint="eastAsia" w:ascii="Times New Roman" w:hAnsi="Times New Roman" w:cs="仿宋"/>
          <w:smallCaps w:val="0"/>
          <w:color w:val="000000" w:themeColor="text1"/>
          <w:szCs w:val="32"/>
          <w:highlight w:val="none"/>
          <w14:textFill>
            <w14:solidFill>
              <w14:schemeClr w14:val="tx1"/>
            </w14:solidFill>
          </w14:textFill>
        </w:rPr>
        <w:t>推进工业、交通运输、建筑、能源等重点行业领域向清洁低碳转型，对具备清洁生产审核条件的纳入年度清洁生产审核重点企业开展强制性清洁生产审核。落实清洁生产方案，提高清洁生产水平，达到“节能、降耗、减污、增效”。推动重点行业和产品设备节能降碳改造。深入开展低碳、零碳先进技术和工艺等绿色低碳先进技术示范。持续优化能源结构，积极开展煤电低碳化改造试点示范，积极推进新能源开发利用。健全绿色消费激励机制，推动形成绿色低碳的生产方式和生活方式，倡导绿色消费、推广绿色建筑、推进绿色出行。</w:t>
      </w:r>
    </w:p>
    <w:p w14:paraId="2176C4F3">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大力发展循环经济。</w:t>
      </w:r>
      <w:r>
        <w:rPr>
          <w:rFonts w:hint="eastAsia" w:ascii="Times New Roman" w:hAnsi="Times New Roman" w:cs="仿宋"/>
          <w:smallCaps w:val="0"/>
          <w:color w:val="000000" w:themeColor="text1"/>
          <w:szCs w:val="32"/>
          <w:highlight w:val="none"/>
          <w14:textFill>
            <w14:solidFill>
              <w14:schemeClr w14:val="tx1"/>
            </w14:solidFill>
          </w14:textFill>
        </w:rPr>
        <w:t>完善资源总量管理和全面节约制度，提升水、土地、能源等资源利用效率。鼓励申报省级绿色低碳先进示范项目，组织推荐国家绿色低碳标杆厂。强化用水总量和强度双控，加强重点用能用水单位和重点园区节能节水管理，完善重点用能单位能耗在线监测系统。加强农村、乡镇集中供水工程建设，逐步关闭城区自备井，实现集中供水。健全节约集约利用土地制度和激励约束机制，推广节地技术和模式。积极盘活存量建设用地，促进建设用地节约集约利用。以高耗能高排放项目聚集度高的产业园区为重点，推动园区能源系统优化和梯级利用，具备条件的省级以上园区完成循环化改造，大力支持“零碳园区”建设。</w:t>
      </w:r>
    </w:p>
    <w:p w14:paraId="71527EC2">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56" w:name="_Toc9387"/>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二</w:t>
      </w:r>
      <w:r>
        <w:rPr>
          <w:rFonts w:hint="eastAsia" w:ascii="Times New Roman" w:hAnsi="Times New Roman"/>
          <w:smallCaps w:val="0"/>
          <w:color w:val="000000" w:themeColor="text1"/>
          <w:highlight w:val="none"/>
          <w14:textFill>
            <w14:solidFill>
              <w14:schemeClr w14:val="tx1"/>
            </w14:solidFill>
          </w14:textFill>
        </w:rPr>
        <w:t>节 精准实施污染治理</w:t>
      </w:r>
      <w:bookmarkEnd w:id="249"/>
      <w:bookmarkEnd w:id="250"/>
      <w:bookmarkEnd w:id="251"/>
      <w:bookmarkEnd w:id="252"/>
      <w:bookmarkEnd w:id="253"/>
      <w:bookmarkEnd w:id="254"/>
      <w:bookmarkEnd w:id="255"/>
      <w:bookmarkEnd w:id="256"/>
    </w:p>
    <w:p w14:paraId="657CE22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推进水生态系统综合治理。</w:t>
      </w:r>
      <w:r>
        <w:rPr>
          <w:rFonts w:hint="eastAsia" w:ascii="Times New Roman" w:hAnsi="Times New Roman" w:cs="仿宋"/>
          <w:smallCaps w:val="0"/>
          <w:color w:val="000000" w:themeColor="text1"/>
          <w:szCs w:val="32"/>
          <w:highlight w:val="none"/>
          <w14:textFill>
            <w14:solidFill>
              <w14:schemeClr w14:val="tx1"/>
            </w14:solidFill>
          </w14:textFill>
        </w:rPr>
        <w:t>继续落实河湖长制，巩固东辽河流域环境治理成果，保持东辽河</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Ⅲ</w:t>
      </w:r>
      <w:r>
        <w:rPr>
          <w:rFonts w:hint="eastAsia" w:ascii="Times New Roman" w:hAnsi="Times New Roman" w:cs="仿宋"/>
          <w:smallCaps w:val="0"/>
          <w:color w:val="000000" w:themeColor="text1"/>
          <w:szCs w:val="32"/>
          <w:highlight w:val="none"/>
          <w14:textFill>
            <w14:solidFill>
              <w14:schemeClr w14:val="tx1"/>
            </w14:solidFill>
          </w14:textFill>
        </w:rPr>
        <w:t>类水体稳定达标。全面治理域内中小河流，全链条推进源头治理、过程管控、末端修复，统筹技术手段和生态修复，推动流域水环境持续向好。探索建立流域协同治理新机制，逐步实现区域间统一规划、联合监测、联合执法、应急联动、信息共享。持续推进饮用水水源水质达标，保持卡伦水库水质稳定达到</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Ⅲ</w:t>
      </w:r>
      <w:r>
        <w:rPr>
          <w:rFonts w:hint="eastAsia" w:ascii="Times New Roman" w:hAnsi="Times New Roman" w:cs="仿宋"/>
          <w:smallCaps w:val="0"/>
          <w:color w:val="000000" w:themeColor="text1"/>
          <w:szCs w:val="32"/>
          <w:highlight w:val="none"/>
          <w14:textFill>
            <w14:solidFill>
              <w14:schemeClr w14:val="tx1"/>
            </w14:solidFill>
          </w14:textFill>
        </w:rPr>
        <w:t>类，强化城市饮用水水源地卡伦水库及上下游联动保护，持续推进农村水源保护区或保护范围划定，持续推进保护标志设置和隔离防护建设。巩固城区零黑臭水体成果，持续开展河道清洁整治行动，加快推进入河排污口规范化整治，以化冰期为重点，组织开展河道清洁行动。加快污水处理厂建设和污水管网改造项目，提升污水等收集处理能力</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到</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2030年</w:t>
      </w:r>
      <w:r>
        <w:rPr>
          <w:rFonts w:hint="eastAsia" w:ascii="Times New Roman" w:hAnsi="Times New Roman" w:cs="仿宋"/>
          <w:smallCaps w:val="0"/>
          <w:color w:val="000000" w:themeColor="text1"/>
          <w:szCs w:val="32"/>
          <w:highlight w:val="none"/>
          <w14:textFill>
            <w14:solidFill>
              <w14:schemeClr w14:val="tx1"/>
            </w14:solidFill>
          </w14:textFill>
        </w:rPr>
        <w:t>，实现雨污分流全覆盖，污水收集处理率达到95%以上。</w:t>
      </w:r>
    </w:p>
    <w:p w14:paraId="55D5748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进一步巩固改善空气质量。</w:t>
      </w:r>
      <w:r>
        <w:rPr>
          <w:rFonts w:hint="eastAsia" w:ascii="Times New Roman" w:hAnsi="Times New Roman" w:cs="仿宋"/>
          <w:smallCaps w:val="0"/>
          <w:color w:val="000000" w:themeColor="text1"/>
          <w:szCs w:val="32"/>
          <w:highlight w:val="none"/>
          <w14:textFill>
            <w14:solidFill>
              <w14:schemeClr w14:val="tx1"/>
            </w14:solidFill>
          </w14:textFill>
        </w:rPr>
        <w:t>加强城市联防联控，深入强化工业污染整治、开展燃煤污染治理、挥发性有机物整治、城市扬尘治理、柴油货车污染治理等专项攻坚行动，开展细颗粒物和臭氧协同控制，巩固提升空气质量优良天数比例。综合整治工业企业大气污染，强化重点行业污染减排，推进工业企业清洁生产，重点推动完成烟气升级改造项目。提高新建燃煤锅炉准入门槛，推动乡镇燃煤小锅炉淘汰改造，打造集中供热“一张网”；推进冬季清洁供暖，加大力度实施散煤治理。开展重点行业挥发性有机物综合整治。建设城市绿道绿廊，精细化管控扬尘污染，对裸露地面实施动态管理，严格实施建筑工地标准化管理。</w:t>
      </w:r>
    </w:p>
    <w:p w14:paraId="77BC273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全方位推进土壤污染治理。</w:t>
      </w:r>
      <w:r>
        <w:rPr>
          <w:rFonts w:hint="eastAsia" w:ascii="Times New Roman" w:hAnsi="Times New Roman" w:cs="仿宋"/>
          <w:smallCaps w:val="0"/>
          <w:color w:val="000000" w:themeColor="text1"/>
          <w:szCs w:val="32"/>
          <w:highlight w:val="none"/>
          <w14:textFill>
            <w14:solidFill>
              <w14:schemeClr w14:val="tx1"/>
            </w14:solidFill>
          </w14:textFill>
        </w:rPr>
        <w:t>开展重点区域土壤污染状况调查，加强农用地分类管理，根据土壤污染程度和相关标准进行动态调整；强化建设用地准入管理，落实地块使用权变更前调查。守住黑土地保护底线，继续推进农业面源污染，持续推进化肥农药减量增效，加强畜禽养殖污染治理，推进规模养殖场、养殖小区畜禽粪污处理设施升级改造；加强农膜和农药包装废弃物回收。加大地下水污染防治力度，统筹区域土壤、地表水、地下水污染协同防治，聚焦“一企一库、两场两区”，做好地下水污染风险调查与管控。</w:t>
      </w:r>
    </w:p>
    <w:p w14:paraId="4B2CE65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系统性推进“无废城市”建设。</w:t>
      </w:r>
      <w:r>
        <w:rPr>
          <w:rFonts w:hint="eastAsia" w:ascii="Times New Roman" w:hAnsi="Times New Roman" w:cs="仿宋"/>
          <w:smallCaps w:val="0"/>
          <w:color w:val="000000" w:themeColor="text1"/>
          <w:szCs w:val="32"/>
          <w:highlight w:val="none"/>
          <w14:textFill>
            <w14:solidFill>
              <w14:schemeClr w14:val="tx1"/>
            </w14:solidFill>
          </w14:textFill>
        </w:rPr>
        <w:t>加强固体废物管理，有效减少固体废物的产生量、促进固体废物的综合利用，最大限度降低固体废物填埋量。启动非法倾倒处置固体废物专项整治行动，到2028年有效遏制非法转移倾倒处置固体废物高发态势。加快构建废弃物循环利用体系，提升固体废物资源化利用水平，推动固体废物分类收集、资源化利用和无害化处理，大力推广再生材料使用。推动大宗固废综合利用，大宗工业固体废物贮存处置总量趋零增长。强化危险废物监管，建立危险废物环境管理全过程可追溯信息系统，有序提升危险废物利用处置能力。加强医疗废物全过程监管，推进公主岭市医疗废物无害化处置能力建设。</w:t>
      </w:r>
      <w:bookmarkStart w:id="257" w:name="_Toc1924334701"/>
      <w:bookmarkStart w:id="258" w:name="_Toc27812"/>
      <w:bookmarkStart w:id="259" w:name="_Toc1415932454"/>
      <w:bookmarkStart w:id="260" w:name="_Toc15537"/>
      <w:bookmarkStart w:id="261" w:name="_Toc22050"/>
      <w:bookmarkStart w:id="262" w:name="_Toc12628"/>
    </w:p>
    <w:p w14:paraId="5E427B14">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63" w:name="_Toc13671"/>
      <w:bookmarkStart w:id="264" w:name="_Toc11650"/>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节 保护修复生态系统</w:t>
      </w:r>
      <w:bookmarkEnd w:id="257"/>
      <w:bookmarkEnd w:id="258"/>
      <w:bookmarkEnd w:id="259"/>
      <w:bookmarkEnd w:id="260"/>
      <w:bookmarkEnd w:id="261"/>
      <w:bookmarkEnd w:id="262"/>
      <w:bookmarkEnd w:id="263"/>
      <w:bookmarkEnd w:id="264"/>
    </w:p>
    <w:p w14:paraId="3A1984F1">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实施重点流域生态保护工程。</w:t>
      </w:r>
      <w:r>
        <w:rPr>
          <w:rFonts w:hint="eastAsia" w:ascii="Times New Roman" w:hAnsi="Times New Roman" w:cs="仿宋"/>
          <w:smallCaps w:val="0"/>
          <w:color w:val="000000" w:themeColor="text1"/>
          <w:szCs w:val="32"/>
          <w:highlight w:val="none"/>
          <w14:textFill>
            <w14:solidFill>
              <w14:schemeClr w14:val="tx1"/>
            </w14:solidFill>
          </w14:textFill>
        </w:rPr>
        <w:t>突出水环境、水资源、水生态“三水”统筹及风险防范，加强东辽河省域水系生态保护，建设东辽河地方整体提升工程，打造辽河水系生态廊道。以东辽河为核心，推进两侧湿地和护岸林带为基础的河廊保育带、生态缓冲隔离带建设。实施大岭及小辽河涝区综合治理。保护培育高丰富度、多功能、独具特色的湿地生态系统，逐步恢复湿地生态功能，维持湿地生态系统健康。实施河流沿线建设生态湿地净化工程，构建人工湿地生态系统，提升湿地生态系统建设水平。</w:t>
      </w:r>
    </w:p>
    <w:p w14:paraId="7FDFAAF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综合性提升造林绿化质量。</w:t>
      </w:r>
      <w:r>
        <w:rPr>
          <w:rFonts w:hint="eastAsia" w:ascii="Times New Roman" w:hAnsi="Times New Roman" w:cs="仿宋"/>
          <w:smallCaps w:val="0"/>
          <w:color w:val="000000" w:themeColor="text1"/>
          <w:szCs w:val="32"/>
          <w:highlight w:val="none"/>
          <w14:textFill>
            <w14:solidFill>
              <w14:schemeClr w14:val="tx1"/>
            </w14:solidFill>
          </w14:textFill>
        </w:rPr>
        <w:t>修复完善“三北”防护林建设，提高农田生态系统总体功能。实施造林绿化工程和村屯绿化美化工程，结合林业增绿增效建设，推进东辽河源头区涵养林建设试点工作，重点生态公益林、水源涵养林、水土保持林、农田防护林、村屯绿化建设，有效增加森林面积和蓄积量。开展林地空间综合治理，重点实施水源地、自然保护地、结构性绿地范围内生态退耕，实施林区生态退耕。加快推进历史遗留矿山复耕复绿及综合整治，有序开展矿山综合开发利用，加快非煤矿山生态修复。</w:t>
      </w:r>
    </w:p>
    <w:p w14:paraId="6DB6CB76">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一体化修复城市生态系统。</w:t>
      </w:r>
      <w:r>
        <w:rPr>
          <w:rFonts w:hint="eastAsia" w:ascii="Times New Roman" w:hAnsi="Times New Roman" w:cs="仿宋"/>
          <w:smallCaps w:val="0"/>
          <w:color w:val="000000" w:themeColor="text1"/>
          <w:szCs w:val="32"/>
          <w:highlight w:val="none"/>
          <w14:textFill>
            <w14:solidFill>
              <w14:schemeClr w14:val="tx1"/>
            </w14:solidFill>
          </w14:textFill>
        </w:rPr>
        <w:t>重点实施城市增绿行动，加强城市公园绿地、城郊生态绿地、绿化隔离地等建设，提高城市绿化覆盖率。加强货运通道防护林带建设，打造串联各中心城市近郊生态绿廊。增加社区公园和口袋公园，新建公主岭市彩虹岭游园、岭川体育公园、新凯河生态公园等城市公园，结合主城区新凯河流域综合治理，形成覆盖城市人居空间的公园系统。</w:t>
      </w:r>
    </w:p>
    <w:p w14:paraId="2B28A788">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65" w:name="_Toc1471"/>
      <w:bookmarkStart w:id="266" w:name="_Toc1189595887"/>
      <w:bookmarkStart w:id="267" w:name="_Toc6709"/>
      <w:bookmarkStart w:id="268" w:name="_Toc31093"/>
      <w:bookmarkStart w:id="269" w:name="_Toc18670"/>
      <w:bookmarkStart w:id="270" w:name="_Toc9834"/>
      <w:bookmarkStart w:id="271" w:name="_Toc1310461971"/>
      <w:bookmarkStart w:id="272" w:name="_Toc11487"/>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四</w:t>
      </w:r>
      <w:r>
        <w:rPr>
          <w:rFonts w:hint="eastAsia" w:ascii="Times New Roman" w:hAnsi="Times New Roman"/>
          <w:smallCaps w:val="0"/>
          <w:color w:val="000000" w:themeColor="text1"/>
          <w:highlight w:val="none"/>
          <w14:textFill>
            <w14:solidFill>
              <w14:schemeClr w14:val="tx1"/>
            </w14:solidFill>
          </w14:textFill>
        </w:rPr>
        <w:t>节 完善生态文明制度</w:t>
      </w:r>
      <w:bookmarkEnd w:id="265"/>
      <w:bookmarkEnd w:id="266"/>
      <w:bookmarkEnd w:id="267"/>
      <w:bookmarkEnd w:id="268"/>
      <w:bookmarkEnd w:id="269"/>
      <w:bookmarkEnd w:id="270"/>
      <w:bookmarkEnd w:id="271"/>
      <w:bookmarkEnd w:id="272"/>
    </w:p>
    <w:p w14:paraId="7034E1EE">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守牢生态环境安全底线。</w:t>
      </w:r>
      <w:r>
        <w:rPr>
          <w:rFonts w:hint="eastAsia" w:ascii="Times New Roman" w:hAnsi="Times New Roman" w:cs="仿宋"/>
          <w:smallCaps w:val="0"/>
          <w:color w:val="000000" w:themeColor="text1"/>
          <w:szCs w:val="32"/>
          <w:highlight w:val="none"/>
          <w14:textFill>
            <w14:solidFill>
              <w14:schemeClr w14:val="tx1"/>
            </w14:solidFill>
          </w14:textFill>
        </w:rPr>
        <w:t>继续落实主体功能区战略，充分衔接国土空间规划和用途管制，树立底线思维，严守生态保护红线、环境质量底线、资源利用上线，加强生态环境准入清单管理。落实生态环境分区管控，将生态环境分区管控实施情况纳入污染防治攻坚战成效考核。建立健全源头严防制度，全面实行排污许可制。强化生态保护修复监管，有效防范化解各类生态环境风险。</w:t>
      </w:r>
    </w:p>
    <w:p w14:paraId="7741A9E1">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建设节水型社会。</w:t>
      </w:r>
      <w:r>
        <w:rPr>
          <w:rFonts w:hint="eastAsia" w:ascii="Times New Roman" w:hAnsi="Times New Roman" w:cs="仿宋"/>
          <w:smallCaps w:val="0"/>
          <w:color w:val="000000" w:themeColor="text1"/>
          <w:szCs w:val="32"/>
          <w:highlight w:val="none"/>
          <w14:textFill>
            <w14:solidFill>
              <w14:schemeClr w14:val="tx1"/>
            </w14:solidFill>
          </w14:textFill>
        </w:rPr>
        <w:t>落实水资源管理制度，实行水资源消耗总量和强度双控，加强重点领域节水，推进节水型社会建设，构建节水型生产方式和消费模式，提高水资源利用效率和效益。</w:t>
      </w:r>
    </w:p>
    <w:p w14:paraId="79E616F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构建智慧环境监测和执法新格局。</w:t>
      </w:r>
      <w:r>
        <w:rPr>
          <w:rFonts w:hint="eastAsia" w:ascii="Times New Roman" w:hAnsi="Times New Roman" w:cs="仿宋"/>
          <w:smallCaps w:val="0"/>
          <w:color w:val="000000" w:themeColor="text1"/>
          <w:szCs w:val="32"/>
          <w:highlight w:val="none"/>
          <w14:textFill>
            <w14:solidFill>
              <w14:schemeClr w14:val="tx1"/>
            </w14:solidFill>
          </w14:textFill>
        </w:rPr>
        <w:t>深入开展环境监管“智慧赋能+规范执法”，依托卫星遥感、地面监测，构建天地空一体化生态环境监测网络。引进和应用先进的监测技术和设备，拓展对生态系统、生物多样性、温室气体等领域监测范围。规范监测行为，持续加强执法队伍能力建设，加快推进配备先进执法装备，加强非现场监管和跨部门联合检查。依托“涉企行政检查备案”等智慧化监管平台，进一步规范执法程序，坚持宽严相济、柔性执法。切实加强排污许可“一证式”监管。</w:t>
      </w:r>
    </w:p>
    <w:tbl>
      <w:tblPr>
        <w:tblStyle w:val="18"/>
        <w:tblW w:w="9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6909"/>
      </w:tblGrid>
      <w:tr w14:paraId="02A8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066" w:type="dxa"/>
            <w:gridSpan w:val="2"/>
            <w:vAlign w:val="center"/>
          </w:tcPr>
          <w:p w14:paraId="0B1D1084">
            <w:pPr>
              <w:pStyle w:val="12"/>
              <w:snapToGrid w:val="0"/>
              <w:spacing w:line="340" w:lineRule="exact"/>
              <w:ind w:firstLine="0" w:firstLineChars="0"/>
              <w:jc w:val="center"/>
              <w:rPr>
                <w:rFonts w:ascii="Times New Roman" w:hAnsi="Times New Roman"/>
                <w:smallCaps w:val="0"/>
                <w:color w:val="000000" w:themeColor="text1"/>
                <w:highlight w:val="none"/>
                <w14:textFill>
                  <w14:solidFill>
                    <w14:schemeClr w14:val="tx1"/>
                  </w14:solidFill>
                </w14:textFill>
              </w:rPr>
            </w:pPr>
            <w:bookmarkStart w:id="273" w:name="_Toc2216"/>
            <w:bookmarkStart w:id="274" w:name="_Toc224"/>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10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生态环保重点项目</w:t>
            </w:r>
          </w:p>
        </w:tc>
      </w:tr>
      <w:tr w14:paraId="3924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vAlign w:val="center"/>
          </w:tcPr>
          <w:p w14:paraId="376B5776">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污染治理重点项目</w:t>
            </w:r>
          </w:p>
        </w:tc>
        <w:tc>
          <w:tcPr>
            <w:tcW w:w="6909" w:type="dxa"/>
            <w:vAlign w:val="center"/>
          </w:tcPr>
          <w:p w14:paraId="35524C1F">
            <w:pPr>
              <w:pStyle w:val="12"/>
              <w:snapToGrid w:val="0"/>
              <w:spacing w:line="340" w:lineRule="exact"/>
              <w:ind w:firstLine="0" w:firstLineChars="0"/>
              <w:rPr>
                <w:rFonts w:ascii="Times New Roman" w:hAnsi="Times New Roman" w:eastAsia="仿宋" w:cs="黑体"/>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污泥处置中心污泥喷雾干化焚烧</w:t>
            </w:r>
            <w:r>
              <w:rPr>
                <w:rFonts w:hint="eastAsia" w:ascii="Times New Roman" w:hAnsi="Times New Roman" w:eastAsia="仿宋" w:cs="仿宋"/>
                <w:smallCaps w:val="0"/>
                <w:color w:val="000000" w:themeColor="text1"/>
                <w:sz w:val="24"/>
                <w:szCs w:val="24"/>
                <w:highlight w:val="none"/>
                <w:lang w:val="en-US" w:eastAsia="zh-CN"/>
                <w14:textFill>
                  <w14:solidFill>
                    <w14:schemeClr w14:val="tx1"/>
                  </w14:solidFill>
                </w14:textFill>
              </w:rPr>
              <w:t>等</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项目建设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农高区北部核心区污水管网建设、污水处理设施和泵站更新改造、畜禽粪污处理等项目建设。</w:t>
            </w:r>
          </w:p>
        </w:tc>
      </w:tr>
      <w:tr w14:paraId="3355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vAlign w:val="center"/>
          </w:tcPr>
          <w:p w14:paraId="4B07E088">
            <w:pPr>
              <w:pStyle w:val="12"/>
              <w:snapToGrid w:val="0"/>
              <w:spacing w:line="340" w:lineRule="exact"/>
              <w:ind w:firstLine="0" w:firstLineChars="0"/>
              <w:jc w:val="center"/>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生态修复重点项目</w:t>
            </w:r>
          </w:p>
        </w:tc>
        <w:tc>
          <w:tcPr>
            <w:tcW w:w="6909" w:type="dxa"/>
          </w:tcPr>
          <w:p w14:paraId="53C0DF70">
            <w:pPr>
              <w:pStyle w:val="12"/>
              <w:snapToGrid w:val="0"/>
              <w:spacing w:line="340" w:lineRule="exact"/>
              <w:ind w:firstLine="0" w:firstLineChars="0"/>
              <w:jc w:val="left"/>
              <w:rPr>
                <w:rFonts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水源地除险加固及综合治理、平洋水库综合治理、域内中小河流综合治理、范家屯镇河道生态治理</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东辽河小辽河小清河新凯河流域内水土保持重点治理等项目建设。</w:t>
            </w:r>
          </w:p>
        </w:tc>
      </w:tr>
    </w:tbl>
    <w:p w14:paraId="01B8DEB7">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75" w:name="_Toc31351"/>
      <w:bookmarkStart w:id="276" w:name="_Toc25436"/>
    </w:p>
    <w:p w14:paraId="7D35485D">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eastAsia="zh-CN"/>
          <w14:textFill>
            <w14:solidFill>
              <w14:schemeClr w14:val="tx1"/>
            </w14:solidFill>
          </w14:textFill>
        </w:rPr>
        <w:t>十</w:t>
      </w:r>
      <w:r>
        <w:rPr>
          <w:rFonts w:hint="eastAsia" w:ascii="Times New Roman" w:hAnsi="Times New Roman"/>
          <w:smallCaps w:val="0"/>
          <w:color w:val="000000" w:themeColor="text1"/>
          <w:highlight w:val="none"/>
          <w14:textFill>
            <w14:solidFill>
              <w14:schemeClr w14:val="tx1"/>
            </w14:solidFill>
          </w14:textFill>
        </w:rPr>
        <w:t>章 推动民生福祉提标扩面，着力建设幸福公主岭</w:t>
      </w:r>
      <w:bookmarkEnd w:id="273"/>
      <w:bookmarkEnd w:id="274"/>
      <w:bookmarkEnd w:id="275"/>
      <w:bookmarkEnd w:id="276"/>
    </w:p>
    <w:p w14:paraId="38EFB6CE">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smallCaps w:val="0"/>
          <w:color w:val="000000" w:themeColor="text1"/>
          <w:highlight w:val="none"/>
          <w14:textFill>
            <w14:solidFill>
              <w14:schemeClr w14:val="tx1"/>
            </w14:solidFill>
          </w14:textFill>
        </w:rPr>
      </w:pPr>
    </w:p>
    <w:p w14:paraId="612811B3">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加强普惠性、基础性、兜底性民生建设，统筹实施幸福岭城建设工程和城乡居民增收工程，推动实现教育、医疗等公共服务资源共享，不断增强人民群众的获得感、幸福感、安全感。</w:t>
      </w:r>
    </w:p>
    <w:p w14:paraId="5149597F">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77" w:name="_Toc238529736"/>
      <w:bookmarkStart w:id="278" w:name="_Toc14941"/>
      <w:bookmarkStart w:id="279" w:name="_Toc1632491146"/>
      <w:bookmarkStart w:id="280" w:name="_Toc24538"/>
      <w:bookmarkStart w:id="281" w:name="_Toc21818"/>
      <w:bookmarkStart w:id="282" w:name="_Toc2640"/>
      <w:bookmarkStart w:id="283" w:name="_Toc10897"/>
      <w:bookmarkStart w:id="284" w:name="_Toc29342"/>
      <w:r>
        <w:rPr>
          <w:rFonts w:hint="eastAsia" w:ascii="Times New Roman" w:hAnsi="Times New Roman"/>
          <w:smallCaps w:val="0"/>
          <w:color w:val="000000" w:themeColor="text1"/>
          <w:highlight w:val="none"/>
          <w14:textFill>
            <w14:solidFill>
              <w14:schemeClr w14:val="tx1"/>
            </w14:solidFill>
          </w14:textFill>
        </w:rPr>
        <w:t>第一节 统筹就业优先</w:t>
      </w:r>
      <w:bookmarkEnd w:id="277"/>
      <w:bookmarkEnd w:id="278"/>
      <w:bookmarkEnd w:id="279"/>
      <w:r>
        <w:rPr>
          <w:rFonts w:hint="eastAsia" w:ascii="Times New Roman" w:hAnsi="Times New Roman"/>
          <w:smallCaps w:val="0"/>
          <w:color w:val="000000" w:themeColor="text1"/>
          <w:highlight w:val="none"/>
          <w14:textFill>
            <w14:solidFill>
              <w14:schemeClr w14:val="tx1"/>
            </w14:solidFill>
          </w14:textFill>
        </w:rPr>
        <w:t>和居民增收</w:t>
      </w:r>
      <w:bookmarkEnd w:id="280"/>
      <w:bookmarkEnd w:id="281"/>
      <w:bookmarkEnd w:id="282"/>
      <w:bookmarkEnd w:id="283"/>
      <w:bookmarkEnd w:id="284"/>
    </w:p>
    <w:p w14:paraId="28A14974">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bookmarkStart w:id="285" w:name="_Toc1091228076"/>
      <w:bookmarkStart w:id="286" w:name="_Toc1889384833"/>
      <w:bookmarkStart w:id="287" w:name="_Toc25738"/>
      <w:r>
        <w:rPr>
          <w:rFonts w:hint="eastAsia" w:ascii="Times New Roman" w:hAnsi="Times New Roman" w:cs="仿宋"/>
          <w:b/>
          <w:bCs/>
          <w:smallCaps w:val="0"/>
          <w:color w:val="000000" w:themeColor="text1"/>
          <w:szCs w:val="32"/>
          <w:highlight w:val="none"/>
          <w14:textFill>
            <w14:solidFill>
              <w14:schemeClr w14:val="tx1"/>
            </w14:solidFill>
          </w14:textFill>
        </w:rPr>
        <w:t>实施就业优先战略。</w:t>
      </w:r>
      <w:r>
        <w:rPr>
          <w:rFonts w:hint="eastAsia" w:ascii="Times New Roman" w:hAnsi="Times New Roman" w:cs="仿宋"/>
          <w:smallCaps w:val="0"/>
          <w:color w:val="000000" w:themeColor="text1"/>
          <w:szCs w:val="32"/>
          <w:highlight w:val="none"/>
          <w14:textFill>
            <w14:solidFill>
              <w14:schemeClr w14:val="tx1"/>
            </w14:solidFill>
          </w14:textFill>
        </w:rPr>
        <w:t>统筹做好高校毕业生、城乡新增劳动力、就业困难人员、农村转移劳动力等重点群体就业帮扶，努力提高城镇新增就业、农村劳动力转移就业数据质量。健全失业人员、就业困难高校毕业生、未就业退役军人精准帮扶机制，强化脱贫劳动力务工动态监测，鼓励产业实体设立就业帮扶车间。落实高校毕业生就业创业系列政策，推动购房、生活、创业等补贴直达快享。拓展企业扩岗与农村劳动力外出务工、就近就业渠道，做好就业困难人员帮扶工作，开发公益性岗位托底安置，确保零就业家庭动态清零。依托各级政务服务平台，畅通残疾人就业数据，多形式促进残疾人就业。完善零工求职与用工需求信息库，补齐基层服务短板。全面推广“96885吉人在线”服务平台，结合“春风行动”等专项活动送岗下乡进社区。推广订单式、定向式、定岗式培训，提升劳动力技能水平。发挥返乡创业基地示范效应，优化创业环境，用好担保贷款及补贴政策，吸引劳模工匠、大学生等“四乡人才”返乡创业。鼓励发展微商电商、直播销售、网约配送等新业态，支持自主就业、分时就业，提升创业带动就业能力。</w:t>
      </w:r>
    </w:p>
    <w:p w14:paraId="405D25A3">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实施城乡居民增收工程。</w:t>
      </w:r>
      <w:r>
        <w:rPr>
          <w:rFonts w:hint="eastAsia" w:ascii="Times New Roman" w:hAnsi="Times New Roman" w:cs="仿宋"/>
          <w:smallCaps w:val="0"/>
          <w:color w:val="000000" w:themeColor="text1"/>
          <w:szCs w:val="32"/>
          <w:highlight w:val="none"/>
          <w14:textFill>
            <w14:solidFill>
              <w14:schemeClr w14:val="tx1"/>
            </w14:solidFill>
          </w14:textFill>
        </w:rPr>
        <w:t>着力提高中低收入群体收入，落实最低工资标准动态调整机制。构建技能导向的薪酬分配制度，落实“新八级工”制度，提高生产服务一线技能人才工资待遇。多渠道增加农民收入，全力推进“千亿斤粮食”产能提升工程，提高粮食单产和种粮收益。以肉牛、生猪养殖为重点，提升养殖企业联农带户能力。拓展农民增收渠道，支持村集体整合资源要素，通过“保底+分红”等方式投资入股设施农业、乡村旅游等项目，发展果蔬采摘、特色餐饮等业态，促进就地就近就业增收。</w:t>
      </w:r>
    </w:p>
    <w:p w14:paraId="54FF4E81">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88" w:name="_Toc11831"/>
      <w:bookmarkStart w:id="289" w:name="_Toc25103"/>
      <w:bookmarkStart w:id="290" w:name="_Toc17014"/>
      <w:bookmarkStart w:id="291" w:name="_Toc22620"/>
      <w:bookmarkStart w:id="292" w:name="_Toc12442"/>
      <w:bookmarkStart w:id="293" w:name="_Toc4466"/>
      <w:r>
        <w:rPr>
          <w:rFonts w:hint="eastAsia" w:ascii="Times New Roman" w:hAnsi="Times New Roman"/>
          <w:smallCaps w:val="0"/>
          <w:color w:val="000000" w:themeColor="text1"/>
          <w:highlight w:val="none"/>
          <w14:textFill>
            <w14:solidFill>
              <w14:schemeClr w14:val="tx1"/>
            </w14:solidFill>
          </w14:textFill>
        </w:rPr>
        <w:t>第二节 构建县域高质量教育体系</w:t>
      </w:r>
      <w:bookmarkEnd w:id="288"/>
      <w:bookmarkEnd w:id="289"/>
      <w:bookmarkEnd w:id="290"/>
      <w:bookmarkEnd w:id="291"/>
      <w:bookmarkEnd w:id="292"/>
      <w:bookmarkEnd w:id="293"/>
    </w:p>
    <w:bookmarkEnd w:id="285"/>
    <w:bookmarkEnd w:id="286"/>
    <w:bookmarkEnd w:id="287"/>
    <w:p w14:paraId="6291DF8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Times New Roman" w:hAnsi="Times New Roman" w:cs="仿宋"/>
          <w:smallCaps w:val="0"/>
          <w:color w:val="000000" w:themeColor="text1"/>
          <w:szCs w:val="32"/>
          <w:highlight w:val="none"/>
          <w14:textFill>
            <w14:solidFill>
              <w14:schemeClr w14:val="tx1"/>
            </w14:solidFill>
          </w14:textFill>
        </w:rPr>
      </w:pPr>
      <w:bookmarkStart w:id="294" w:name="_Toc50200042"/>
      <w:bookmarkStart w:id="295" w:name="_Toc759927952"/>
      <w:r>
        <w:rPr>
          <w:rFonts w:hint="eastAsia" w:ascii="Times New Roman" w:hAnsi="Times New Roman" w:eastAsia="仿宋" w:cs="仿宋"/>
          <w:sz w:val="32"/>
          <w:szCs w:val="32"/>
          <w:highlight w:val="none"/>
          <w:lang w:val="en-US" w:eastAsia="zh-CN"/>
        </w:rPr>
        <w:t>坚持用习近平新时代中国特色社会主义思想铸魂育人。遵循各学段学生认知规律和成长需求，打破学段壁垒，实现资源共享、优势互补、全面提升思政教育质量。</w:t>
      </w:r>
      <w:r>
        <w:rPr>
          <w:rFonts w:hint="eastAsia" w:ascii="Times New Roman" w:hAnsi="Times New Roman" w:cs="仿宋"/>
          <w:smallCaps w:val="0"/>
          <w:color w:val="000000" w:themeColor="text1"/>
          <w:szCs w:val="32"/>
          <w:highlight w:val="none"/>
          <w14:textFill>
            <w14:solidFill>
              <w14:schemeClr w14:val="tx1"/>
            </w14:solidFill>
          </w14:textFill>
        </w:rPr>
        <w:t>坚持整体性与阶段性统一、协同性与特色化并重、理论性与实践性结合，构建一体化内容体系、建强一体化师资队伍、打造一体化资源平台、创新一体化育人模式、完善一体化评价机制。到2030年，基本建成目标清晰、内容完善、学段衔接、资源融通、保障有力、富有活力的思政教育一体化体系，夯实教育强市建设基础。</w:t>
      </w:r>
    </w:p>
    <w:p w14:paraId="445B913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强化学前教育普及普惠。</w:t>
      </w:r>
      <w:r>
        <w:rPr>
          <w:rFonts w:hint="eastAsia" w:ascii="Times New Roman" w:hAnsi="Times New Roman" w:cs="仿宋"/>
          <w:smallCaps w:val="0"/>
          <w:color w:val="000000" w:themeColor="text1"/>
          <w:szCs w:val="32"/>
          <w:highlight w:val="none"/>
          <w14:textFill>
            <w14:solidFill>
              <w14:schemeClr w14:val="tx1"/>
            </w14:solidFill>
          </w14:textFill>
        </w:rPr>
        <w:t>精准规划资源供给，建立人口趋势与学位需求联动预测机制，优化城乡幼儿园布局结构，</w:t>
      </w:r>
      <w:r>
        <w:rPr>
          <w:rFonts w:hint="eastAsia" w:ascii="Times New Roman" w:hAnsi="Times New Roman" w:eastAsia="仿宋" w:cs="仿宋"/>
          <w:smallCaps w:val="0"/>
          <w:color w:val="000000" w:themeColor="text1"/>
          <w:kern w:val="0"/>
          <w:sz w:val="32"/>
          <w:szCs w:val="32"/>
          <w:highlight w:val="none"/>
          <w:lang w:val="en-US" w:eastAsia="zh-CN" w:bidi="ar"/>
          <w14:textFill>
            <w14:solidFill>
              <w14:schemeClr w14:val="tx1"/>
            </w14:solidFill>
          </w14:textFill>
        </w:rPr>
        <w:t>增加学前教育普惠性学位供给。</w:t>
      </w:r>
      <w:r>
        <w:rPr>
          <w:rFonts w:hint="eastAsia" w:ascii="Times New Roman" w:hAnsi="Times New Roman" w:cs="仿宋"/>
          <w:smallCaps w:val="0"/>
          <w:color w:val="000000" w:themeColor="text1"/>
          <w:kern w:val="0"/>
          <w:sz w:val="32"/>
          <w:szCs w:val="32"/>
          <w:highlight w:val="none"/>
          <w:lang w:val="en-US" w:eastAsia="zh-CN" w:bidi="ar"/>
          <w14:textFill>
            <w14:solidFill>
              <w14:schemeClr w14:val="tx1"/>
            </w14:solidFill>
          </w14:textFill>
        </w:rPr>
        <w:t>到2030年，</w:t>
      </w:r>
      <w:r>
        <w:rPr>
          <w:rFonts w:hint="eastAsia" w:ascii="Times New Roman" w:hAnsi="Times New Roman" w:cs="仿宋"/>
          <w:smallCaps w:val="0"/>
          <w:color w:val="000000" w:themeColor="text1"/>
          <w:szCs w:val="32"/>
          <w:highlight w:val="none"/>
          <w14:textFill>
            <w14:solidFill>
              <w14:schemeClr w14:val="tx1"/>
            </w14:solidFill>
          </w14:textFill>
        </w:rPr>
        <w:t>接收小区配套幼儿园3所以上，新增普惠学位720个，新增普惠托育学位约100个。</w:t>
      </w:r>
      <w:r>
        <w:rPr>
          <w:rFonts w:ascii="Times New Roman" w:hAnsi="Times New Roman" w:cs="仿宋"/>
          <w:smallCaps w:val="0"/>
          <w:color w:val="000000" w:themeColor="text1"/>
          <w:szCs w:val="32"/>
          <w:highlight w:val="none"/>
          <w14:textFill>
            <w14:solidFill>
              <w14:schemeClr w14:val="tx1"/>
            </w14:solidFill>
          </w14:textFill>
        </w:rPr>
        <w:t>到</w:t>
      </w:r>
      <w:r>
        <w:rPr>
          <w:rFonts w:hint="eastAsia" w:ascii="Times New Roman" w:hAnsi="Times New Roman" w:cs="仿宋"/>
          <w:smallCaps w:val="0"/>
          <w:color w:val="000000" w:themeColor="text1"/>
          <w:szCs w:val="32"/>
          <w:highlight w:val="none"/>
          <w14:textFill>
            <w14:solidFill>
              <w14:schemeClr w14:val="tx1"/>
            </w14:solidFill>
          </w14:textFill>
        </w:rPr>
        <w:t>2030</w:t>
      </w:r>
      <w:r>
        <w:rPr>
          <w:rFonts w:ascii="Times New Roman" w:hAnsi="Times New Roman" w:cs="仿宋"/>
          <w:smallCaps w:val="0"/>
          <w:color w:val="000000" w:themeColor="text1"/>
          <w:szCs w:val="32"/>
          <w:highlight w:val="none"/>
          <w14:textFill>
            <w14:solidFill>
              <w14:schemeClr w14:val="tx1"/>
            </w14:solidFill>
          </w14:textFill>
        </w:rPr>
        <w:t>年</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全部公办</w:t>
      </w:r>
      <w:r>
        <w:rPr>
          <w:rFonts w:ascii="Times New Roman" w:hAnsi="Times New Roman" w:cs="仿宋"/>
          <w:smallCaps w:val="0"/>
          <w:color w:val="000000" w:themeColor="text1"/>
          <w:szCs w:val="32"/>
          <w:highlight w:val="none"/>
          <w14:textFill>
            <w14:solidFill>
              <w14:schemeClr w14:val="tx1"/>
            </w14:solidFill>
          </w14:textFill>
        </w:rPr>
        <w:t>幼儿园园舍条件</w:t>
      </w:r>
      <w:r>
        <w:rPr>
          <w:rFonts w:hint="eastAsia" w:ascii="Times New Roman" w:hAnsi="Times New Roman" w:cs="仿宋"/>
          <w:smallCaps w:val="0"/>
          <w:color w:val="000000" w:themeColor="text1"/>
          <w:szCs w:val="32"/>
          <w:highlight w:val="none"/>
          <w14:textFill>
            <w14:solidFill>
              <w14:schemeClr w14:val="tx1"/>
            </w14:solidFill>
          </w14:textFill>
        </w:rPr>
        <w:t>、</w:t>
      </w:r>
      <w:r>
        <w:rPr>
          <w:rFonts w:ascii="Times New Roman" w:hAnsi="Times New Roman" w:cs="仿宋"/>
          <w:smallCaps w:val="0"/>
          <w:color w:val="000000" w:themeColor="text1"/>
          <w:szCs w:val="32"/>
          <w:highlight w:val="none"/>
          <w14:textFill>
            <w14:solidFill>
              <w14:schemeClr w14:val="tx1"/>
            </w14:solidFill>
          </w14:textFill>
        </w:rPr>
        <w:t>玩教具和幼儿图书配备达到省定标准</w:t>
      </w:r>
      <w:r>
        <w:rPr>
          <w:rFonts w:hint="eastAsia" w:ascii="Times New Roman" w:hAnsi="Times New Roman" w:cs="仿宋"/>
          <w:smallCaps w:val="0"/>
          <w:color w:val="000000" w:themeColor="text1"/>
          <w:szCs w:val="32"/>
          <w:highlight w:val="none"/>
          <w14:textFill>
            <w14:solidFill>
              <w14:schemeClr w14:val="tx1"/>
            </w14:solidFill>
          </w14:textFill>
        </w:rPr>
        <w:t>。落实公办园教师工资待遇保障政策，引导普惠性民办园合理确定教职工薪酬，实施“学前教育教师五年轮训计划”，强化师德师风与保教能力。</w:t>
      </w:r>
      <w:r>
        <w:rPr>
          <w:rFonts w:ascii="Times New Roman" w:hAnsi="Times New Roman" w:cs="仿宋"/>
          <w:smallCaps w:val="0"/>
          <w:color w:val="000000" w:themeColor="text1"/>
          <w:szCs w:val="32"/>
          <w:highlight w:val="none"/>
          <w14:textFill>
            <w14:solidFill>
              <w14:schemeClr w14:val="tx1"/>
            </w14:solidFill>
          </w14:textFill>
        </w:rPr>
        <w:t>到20</w:t>
      </w:r>
      <w:r>
        <w:rPr>
          <w:rFonts w:hint="eastAsia" w:ascii="Times New Roman" w:hAnsi="Times New Roman" w:cs="仿宋"/>
          <w:smallCaps w:val="0"/>
          <w:color w:val="000000" w:themeColor="text1"/>
          <w:szCs w:val="32"/>
          <w:highlight w:val="none"/>
          <w14:textFill>
            <w14:solidFill>
              <w14:schemeClr w14:val="tx1"/>
            </w14:solidFill>
          </w14:textFill>
        </w:rPr>
        <w:t>30</w:t>
      </w:r>
      <w:r>
        <w:rPr>
          <w:rFonts w:ascii="Times New Roman" w:hAnsi="Times New Roman" w:cs="仿宋"/>
          <w:smallCaps w:val="0"/>
          <w:color w:val="000000" w:themeColor="text1"/>
          <w:szCs w:val="32"/>
          <w:highlight w:val="none"/>
          <w14:textFill>
            <w14:solidFill>
              <w14:schemeClr w14:val="tx1"/>
            </w14:solidFill>
          </w14:textFill>
        </w:rPr>
        <w:t>年，全市幼儿园专任教师总数与在园幼儿总数之比不低于1:15。</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构建由教育部门牵头，卫健、市场监管、消防等部门协同的综合监管体系。</w:t>
      </w:r>
      <w:r>
        <w:rPr>
          <w:rFonts w:hint="eastAsia" w:ascii="Times New Roman" w:hAnsi="Times New Roman" w:cs="仿宋"/>
          <w:smallCaps w:val="0"/>
          <w:color w:val="000000" w:themeColor="text1"/>
          <w:szCs w:val="32"/>
          <w:highlight w:val="none"/>
          <w14:textFill>
            <w14:solidFill>
              <w14:schemeClr w14:val="tx1"/>
            </w14:solidFill>
          </w14:textFill>
        </w:rPr>
        <w:t xml:space="preserve">深化科学保教实践，坚持以游戏为基本活动，坚决纠正“小学化”倾向。 </w:t>
      </w:r>
    </w:p>
    <w:p w14:paraId="1DFF65E2">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推进实现义务教育优质均衡发展。</w:t>
      </w:r>
      <w:r>
        <w:rPr>
          <w:rFonts w:hint="eastAsia" w:ascii="Times New Roman" w:hAnsi="Times New Roman" w:cs="仿宋"/>
          <w:smallCaps w:val="0"/>
          <w:color w:val="000000" w:themeColor="text1"/>
          <w:szCs w:val="32"/>
          <w:highlight w:val="none"/>
          <w14:textFill>
            <w14:solidFill>
              <w14:schemeClr w14:val="tx1"/>
            </w14:solidFill>
          </w14:textFill>
        </w:rPr>
        <w:t>科学优化城乡学校布局，建立与人口流动、城镇化趋势相适的动态调整机制。稳妥推进小规模学校整合，加强乡镇寄宿制学校建设，着力化解“村上空、乡镇弱、城区挤”的矛盾。补齐硬件短板，全面消除校园消防安全隐患，对智慧教室、创新实验室、体育美育场馆、心理健康辅导室等现代化教学设施设备提档升级，实施乡镇学校旱厕改造，实现城乡学校硬件配置同标同质。强力推进“双减”工作提质增效，提升课堂教学效率和课后服务质量，减轻学生无效负担。促进“五育”融合发展，</w:t>
      </w:r>
      <w:r>
        <w:rPr>
          <w:rFonts w:hint="eastAsia" w:ascii="Times New Roman" w:hAnsi="Times New Roman" w:eastAsia="仿宋" w:cs="仿宋"/>
          <w:sz w:val="32"/>
          <w:szCs w:val="32"/>
          <w:highlight w:val="none"/>
          <w:lang w:val="en-US" w:eastAsia="zh-CN"/>
        </w:rPr>
        <w:t>构建科学的一体化德育体系，</w:t>
      </w:r>
      <w:r>
        <w:rPr>
          <w:rFonts w:hint="eastAsia" w:ascii="Times New Roman" w:hAnsi="Times New Roman" w:cs="仿宋"/>
          <w:smallCaps w:val="0"/>
          <w:color w:val="000000" w:themeColor="text1"/>
          <w:szCs w:val="32"/>
          <w:highlight w:val="none"/>
          <w14:textFill>
            <w14:solidFill>
              <w14:schemeClr w14:val="tx1"/>
            </w14:solidFill>
          </w14:textFill>
        </w:rPr>
        <w:t>强化体育锻炼和美育熏陶，加强劳动教育，构建完善的学生心理健康监测与干预体系。深化集团化办学，扎实推进优质学校与薄弱学校集团化建设，域内每年教师交流轮岗比例不低于符合条件教师的10%，骨干教师占比不低于20%。实施名师、名校长、名班主任培育工程，建立覆盖全员的阶梯式培训体系。到2030年，公主岭市级骨干</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教师</w:t>
      </w:r>
      <w:r>
        <w:rPr>
          <w:rFonts w:hint="eastAsia" w:ascii="Times New Roman" w:hAnsi="Times New Roman" w:cs="仿宋"/>
          <w:smallCaps w:val="0"/>
          <w:color w:val="000000" w:themeColor="text1"/>
          <w:szCs w:val="32"/>
          <w:highlight w:val="none"/>
          <w14:textFill>
            <w14:solidFill>
              <w14:schemeClr w14:val="tx1"/>
            </w14:solidFill>
          </w14:textFill>
        </w:rPr>
        <w:t>达到20%，长春市骨干教师达到12%，省级骨干教师达到5%。切实保障教师待遇，营造尊师重教氛围。深化智慧校园建设，推进“五育”领域智能感知设备部署，提升数据无感采集效能，开发并实施“五育”评价管理系统。推进人工智能赋能教育，普遍提升其在教学与管理中的应用水平，推动“人工智能+教育”行动落地见效。</w:t>
      </w:r>
    </w:p>
    <w:p w14:paraId="084E6130">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推进县域普通高中扩容提质发展。</w:t>
      </w:r>
      <w:r>
        <w:rPr>
          <w:rFonts w:hint="eastAsia" w:ascii="Times New Roman" w:hAnsi="Times New Roman" w:cs="仿宋"/>
          <w:smallCaps w:val="0"/>
          <w:color w:val="000000" w:themeColor="text1"/>
          <w:szCs w:val="32"/>
          <w:highlight w:val="none"/>
          <w14:textFill>
            <w14:solidFill>
              <w14:schemeClr w14:val="tx1"/>
            </w14:solidFill>
          </w14:textFill>
        </w:rPr>
        <w:t>深入实施县域普通高中振兴计划，扩大教育资源总量。推动现有学校挖潜扩招、十一高硅谷学校新建高中部、市职教中心转型建立综合高中，新增公立高中学位1000个以上。依托区域教育联盟深化校际教研，带动县域高中整体教研水平提升，打造一中教育品牌。推进职业教育与普通教育融通发展，积极深化与高职院校合作办学。聚焦特殊教育普惠发展，打破学段壁垒，推动特殊教育从义务教育向学前和高中阶段两端延伸，构建全学段覆盖、全链条衔接的特殊教育服务体系，保障特殊群体平等享有受教育权利。规范民办学校办学行为，实现义务教育阶段民办学校在校生占比降至15%以内。</w:t>
      </w:r>
    </w:p>
    <w:p w14:paraId="4CE92A7A">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default"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深化教育综合改革。</w:t>
      </w:r>
      <w:r>
        <w:rPr>
          <w:rFonts w:hint="eastAsia" w:ascii="Times New Roman" w:hAnsi="Times New Roman" w:cs="仿宋"/>
          <w:smallCaps w:val="0"/>
          <w:color w:val="000000" w:themeColor="text1"/>
          <w:szCs w:val="32"/>
          <w:highlight w:val="none"/>
          <w14:textFill>
            <w14:solidFill>
              <w14:schemeClr w14:val="tx1"/>
            </w14:solidFill>
          </w14:textFill>
        </w:rPr>
        <w:t>深化“县管校聘”管理改革，严把教师入口质量关、跨校竞聘流动关，打造年龄结构呈梯队、干事创业有干劲、学科配置科学的服务型教师队伍。充分发挥“教联体”协同育人作用。强化科学素养教育，通过创新培训模式、建立科学教师学习共同体、课外辅导员等渠道，打造高水平科学教师队伍</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探索建立“科学教育基地”，鼓励“一校一特色”科创空间建设，深化“校内外融合”，结合数字化转型，优化课程与教学，高效实施好“沃土计划”。深化体育改革，坚持每天运动2小时，启动三级联赛活动，实施体育特长生录取“直通车”工程，打造足球、篮球特色校</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到</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2030年</w:t>
      </w:r>
      <w:r>
        <w:rPr>
          <w:rFonts w:hint="eastAsia" w:ascii="Times New Roman" w:hAnsi="Times New Roman" w:cs="仿宋"/>
          <w:smallCaps w:val="0"/>
          <w:color w:val="000000" w:themeColor="text1"/>
          <w:szCs w:val="32"/>
          <w:highlight w:val="none"/>
          <w14:textFill>
            <w14:solidFill>
              <w14:schemeClr w14:val="tx1"/>
            </w14:solidFill>
          </w14:textFill>
        </w:rPr>
        <w:t>，全市学生肥胖率降至9.9%；小学、初中、高中学生近视率分别下降到38％、60％、70％以下；体质健康优良率达到60%</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启动十二年一贯制学校试点，打破学段壁垒，为人才贯通培养探索路径。完善教育评价体系改革，科学建立一套对学生、教师、校长、学校的综合评价体系。落实学校办学自主权，激发中小学办学活力，推动学校特色化、内涵式发展，办好人民满意的教育。</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完善终身教育服务体系和管理机制，稳步提升全市人口平均受教育年限。</w:t>
      </w:r>
    </w:p>
    <w:p w14:paraId="50E26EE7">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296" w:name="_Toc12966"/>
      <w:bookmarkStart w:id="297" w:name="_Toc8085"/>
      <w:bookmarkStart w:id="298" w:name="_Toc29840"/>
      <w:bookmarkStart w:id="299" w:name="_Toc23003"/>
      <w:bookmarkStart w:id="300" w:name="_Toc15179"/>
      <w:bookmarkStart w:id="301" w:name="_Toc28612"/>
      <w:r>
        <w:rPr>
          <w:rFonts w:hint="eastAsia" w:ascii="Times New Roman" w:hAnsi="Times New Roman"/>
          <w:smallCaps w:val="0"/>
          <w:color w:val="000000" w:themeColor="text1"/>
          <w:highlight w:val="none"/>
          <w14:textFill>
            <w14:solidFill>
              <w14:schemeClr w14:val="tx1"/>
            </w14:solidFill>
          </w14:textFill>
        </w:rPr>
        <w:t>第三节 建设现代化健康服务体系</w:t>
      </w:r>
      <w:bookmarkEnd w:id="294"/>
      <w:bookmarkEnd w:id="295"/>
      <w:bookmarkEnd w:id="296"/>
      <w:bookmarkEnd w:id="297"/>
      <w:bookmarkEnd w:id="298"/>
      <w:bookmarkEnd w:id="299"/>
      <w:bookmarkEnd w:id="300"/>
      <w:bookmarkEnd w:id="301"/>
    </w:p>
    <w:p w14:paraId="42951BF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全面提升医疗机构服务能力。</w:t>
      </w:r>
      <w:r>
        <w:rPr>
          <w:rFonts w:hint="eastAsia" w:ascii="Times New Roman" w:hAnsi="Times New Roman" w:cs="仿宋"/>
          <w:smallCaps w:val="0"/>
          <w:color w:val="000000" w:themeColor="text1"/>
          <w:szCs w:val="32"/>
          <w:highlight w:val="none"/>
          <w14:textFill>
            <w14:solidFill>
              <w14:schemeClr w14:val="tx1"/>
            </w14:solidFill>
          </w14:textFill>
        </w:rPr>
        <w:t>大力改善县级医院硬件条件，更新基础设施与高端设备，重点加快胸痛、卒中、创伤、危重孕产妇和新生儿救治“五大中心”建设，构建急危重症救治网络，提高公立医院诊疗水平。推进优质医疗资源下沉，拓宽合作路径，通过府院协作、专科联盟、医联体等多种方式引入先进资源。开展“儿科卫生服务年”行动，增强公立医院儿科服务能力。完善老年人健康支撑体系，推动二级以上综合医院开设老年医学科，提升老年医疗、康复护理能力。强化基层医疗机构运行保障，推进</w:t>
      </w:r>
      <w:r>
        <w:rPr>
          <w:rFonts w:hint="eastAsia" w:ascii="Times New Roman" w:hAnsi="Times New Roman" w:cs="仿宋"/>
          <w:smallCaps w:val="0"/>
          <w:color w:val="000000" w:themeColor="text1"/>
          <w:szCs w:val="32"/>
          <w:highlight w:val="none"/>
          <w:lang w:eastAsia="zh-CN"/>
          <w14:textFill>
            <w14:solidFill>
              <w14:schemeClr w14:val="tx1"/>
            </w14:solidFill>
          </w14:textFill>
        </w:rPr>
        <w:t>医疗卫生“强基工程”</w:t>
      </w:r>
      <w:r>
        <w:rPr>
          <w:rFonts w:hint="eastAsia" w:ascii="Times New Roman" w:hAnsi="Times New Roman" w:cs="仿宋"/>
          <w:smallCaps w:val="0"/>
          <w:color w:val="000000" w:themeColor="text1"/>
          <w:szCs w:val="32"/>
          <w:highlight w:val="none"/>
          <w14:textFill>
            <w14:solidFill>
              <w14:schemeClr w14:val="tx1"/>
            </w14:solidFill>
          </w14:textFill>
        </w:rPr>
        <w:t>，持续优化社区卫生服务中心、乡镇卫生院和村卫生室的设施设备，补齐基层医疗机构短板。</w:t>
      </w:r>
    </w:p>
    <w:p w14:paraId="4077F00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推进智慧医院服务体系建设。</w:t>
      </w:r>
      <w:r>
        <w:rPr>
          <w:rFonts w:hint="eastAsia" w:ascii="Times New Roman" w:hAnsi="Times New Roman" w:cs="仿宋"/>
          <w:smallCaps w:val="0"/>
          <w:color w:val="000000" w:themeColor="text1"/>
          <w:szCs w:val="32"/>
          <w:highlight w:val="none"/>
          <w14:textFill>
            <w14:solidFill>
              <w14:schemeClr w14:val="tx1"/>
            </w14:solidFill>
          </w14:textFill>
        </w:rPr>
        <w:t>利用人工智能技术，建立智慧医院服务体系。加强县域医共体智能应用，强化医学影像诊断、心电诊断、医学检验、家庭医生签约服务等便民惠民智能服务水平。建立基层医生智能辅助诊疗应用，针对基层常见病、多发病，提升基层全科辅助诊断、疾病鉴别诊断等服务能力。推动“人工智能＋患者服务”，推动公主岭市中心医院为患者提供智能预问诊、智能随访等全流程服务，改善患者就医体验。</w:t>
      </w:r>
    </w:p>
    <w:p w14:paraId="588BB59C">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健全完善公共卫生体系。</w:t>
      </w:r>
      <w:r>
        <w:rPr>
          <w:rFonts w:hint="eastAsia" w:ascii="Times New Roman" w:hAnsi="Times New Roman" w:cs="仿宋"/>
          <w:smallCaps w:val="0"/>
          <w:color w:val="000000" w:themeColor="text1"/>
          <w:szCs w:val="32"/>
          <w:highlight w:val="none"/>
          <w14:textFill>
            <w14:solidFill>
              <w14:schemeClr w14:val="tx1"/>
            </w14:solidFill>
          </w14:textFill>
        </w:rPr>
        <w:t>实施公共卫生应急能力提升行动，健全“平急结合”的疾控体系，完善重大疫情物资储备动态管理机制，实现30分钟应急响应圈全域覆盖。完善传染病疫情和突发公共卫生事件监测预警机制，建立疾控机构与医疗机构协同机制，提升疾控中心基础设施、仪器设备及检测能力，加强基层医务人员培训，提高早期预警和快速处置能力。完善全流程血液管理体系，建设高标准长春市中心血站公主岭分站。</w:t>
      </w:r>
    </w:p>
    <w:p w14:paraId="349CBC7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落实医药卫生体制改革。</w:t>
      </w:r>
      <w:r>
        <w:rPr>
          <w:rFonts w:hint="eastAsia" w:ascii="Times New Roman" w:hAnsi="Times New Roman" w:cs="仿宋"/>
          <w:smallCaps w:val="0"/>
          <w:color w:val="000000" w:themeColor="text1"/>
          <w:szCs w:val="32"/>
          <w:highlight w:val="none"/>
          <w14:textFill>
            <w14:solidFill>
              <w14:schemeClr w14:val="tx1"/>
            </w14:solidFill>
          </w14:textFill>
        </w:rPr>
        <w:t>持续深化公立医院改革，推行“县聘乡用”编制改革，加快健全分级诊疗制度、现代医院管理制度、综合监管制度。建立“基层首诊、双向转诊、上下联动、急慢分治”的分级诊疗格局，围绕全生命周期卫生健康保障和医疗资源配置进行优化。推进紧密型县域医共体建设，强化顶层设计与政策协同，统筹全市医疗卫生资源。加强人才队伍建设，做实家庭医生签约服务，提升基层服务效能，兜牢居民健康的网底。扩大普惠托育供给，拓展老年友善医疗机构覆盖范围，开设老年医学科室，针对老年人、慢性病患者等重点人群精准实施健康管理。提升全民健康素养水平，持续深化健康知识普及工作。持续推进医保经办服务下沉，全力提升“15分钟医保服务圈”建设水平。</w:t>
      </w:r>
    </w:p>
    <w:p w14:paraId="5503E11A">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cs="仿宋"/>
          <w:smallCaps w:val="0"/>
          <w:color w:val="000000" w:themeColor="text1"/>
          <w:szCs w:val="32"/>
          <w:highlight w:val="none"/>
          <w14:textFill>
            <w14:solidFill>
              <w14:schemeClr w14:val="tx1"/>
            </w14:solidFill>
          </w14:textFill>
        </w:rPr>
      </w:pPr>
      <w:bookmarkStart w:id="302" w:name="_Toc25884"/>
      <w:bookmarkStart w:id="303" w:name="_Toc11970"/>
      <w:bookmarkStart w:id="304" w:name="_Toc20717"/>
      <w:bookmarkStart w:id="305" w:name="_Toc1898516270"/>
      <w:bookmarkStart w:id="306" w:name="_Toc1023840555"/>
      <w:bookmarkStart w:id="307" w:name="_Toc27946"/>
      <w:r>
        <w:rPr>
          <w:rFonts w:hint="eastAsia" w:ascii="Times New Roman" w:hAnsi="Times New Roman" w:cs="仿宋"/>
          <w:b/>
          <w:bCs/>
          <w:smallCaps w:val="0"/>
          <w:color w:val="000000" w:themeColor="text1"/>
          <w:szCs w:val="32"/>
          <w:highlight w:val="none"/>
          <w14:textFill>
            <w14:solidFill>
              <w14:schemeClr w14:val="tx1"/>
            </w14:solidFill>
          </w14:textFill>
        </w:rPr>
        <w:t>完善全民健身公共服务体系。</w:t>
      </w:r>
      <w:r>
        <w:rPr>
          <w:rFonts w:hint="eastAsia" w:ascii="Times New Roman" w:hAnsi="Times New Roman" w:cs="仿宋"/>
          <w:smallCaps w:val="0"/>
          <w:color w:val="000000" w:themeColor="text1"/>
          <w:szCs w:val="32"/>
          <w:highlight w:val="none"/>
          <w14:textFill>
            <w14:solidFill>
              <w14:schemeClr w14:val="tx1"/>
            </w14:solidFill>
          </w14:textFill>
        </w:rPr>
        <w:t>利用空闲地块、边角地等资源，建设贴近社区、方便可达、面向公众开放的体育公园、多功能运动场、健身步道、口袋公园等。大力发展赛事经济和冰雪体育经济，深入开展体育赛事“进景区、进街区、进商圈”和“跟着赛事去旅行”活动，</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组织</w:t>
      </w:r>
      <w:r>
        <w:rPr>
          <w:rFonts w:hint="eastAsia" w:ascii="Times New Roman" w:hAnsi="Times New Roman" w:cs="仿宋"/>
          <w:smallCaps w:val="0"/>
          <w:color w:val="000000" w:themeColor="text1"/>
          <w:szCs w:val="32"/>
          <w:highlight w:val="none"/>
          <w14:textFill>
            <w14:solidFill>
              <w14:schemeClr w14:val="tx1"/>
            </w14:solidFill>
          </w14:textFill>
        </w:rPr>
        <w:t>举办健康跑、健步走、越野跑等赛事活动。利用长春“大冬会”冰雪体育氛围，引导群众广泛参与冰雪运动，每年浇建冰场用于竞技比赛和业余训练</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动员企业、商户、景区谋划设计有吸引力的冰雪消费场景，承接长春外溢流量。推进竞技体育建设，巩固扩大田径、摔跤、举重项目优势，加快发展柔道、滑冰等潜在优势项目，加强青少年体育优秀人才培养，积极向省市体育训练队输送高水平体育后备人才。</w:t>
      </w:r>
    </w:p>
    <w:p w14:paraId="0D1F71C2">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308" w:name="_Toc27523"/>
      <w:bookmarkStart w:id="309" w:name="_Toc16791"/>
      <w:r>
        <w:rPr>
          <w:rFonts w:hint="eastAsia" w:ascii="Times New Roman" w:hAnsi="Times New Roman"/>
          <w:smallCaps w:val="0"/>
          <w:color w:val="000000" w:themeColor="text1"/>
          <w:highlight w:val="none"/>
          <w14:textFill>
            <w14:solidFill>
              <w14:schemeClr w14:val="tx1"/>
            </w14:solidFill>
          </w14:textFill>
        </w:rPr>
        <w:t>第四节 健全多层次社会保障体系</w:t>
      </w:r>
      <w:bookmarkEnd w:id="302"/>
      <w:bookmarkEnd w:id="303"/>
      <w:bookmarkEnd w:id="304"/>
      <w:bookmarkEnd w:id="305"/>
      <w:bookmarkEnd w:id="306"/>
      <w:bookmarkEnd w:id="307"/>
      <w:bookmarkEnd w:id="308"/>
      <w:bookmarkEnd w:id="309"/>
    </w:p>
    <w:p w14:paraId="01C5406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健全养老等社会保障体系。</w:t>
      </w:r>
      <w:r>
        <w:rPr>
          <w:rFonts w:hint="eastAsia" w:ascii="Times New Roman" w:hAnsi="Times New Roman" w:cs="仿宋"/>
          <w:smallCaps w:val="0"/>
          <w:color w:val="000000" w:themeColor="text1"/>
          <w:szCs w:val="32"/>
          <w:highlight w:val="none"/>
          <w14:textFill>
            <w14:solidFill>
              <w14:schemeClr w14:val="tx1"/>
            </w14:solidFill>
          </w14:textFill>
        </w:rPr>
        <w:t>推行城乡居民基本养老保险待遇确定和基础养老金正常调整机制，逐步提高养老金水平。推进社会保险精准扩面，加强社会保险关系转移接续政策落实。落实好省高龄老年人生活津贴政策。持续推进基本医疗保险参保扩面，全面推行大病保险和医疗救助制度。积极引导农民工、灵活就业人员、新业态从业人员参加城镇职工或城乡居民基本养老保险、基本医疗保险。建立退役军人常态化走访慰问机制，动态掌握生活需求并及时帮扶解困，做好退役军人等特殊群体社会保障工作。</w:t>
      </w:r>
    </w:p>
    <w:p w14:paraId="55D142A2">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强化社会兜底保障。</w:t>
      </w:r>
      <w:r>
        <w:rPr>
          <w:rFonts w:hint="eastAsia" w:ascii="Times New Roman" w:hAnsi="Times New Roman" w:cs="仿宋"/>
          <w:smallCaps w:val="0"/>
          <w:color w:val="000000" w:themeColor="text1"/>
          <w:szCs w:val="32"/>
          <w:highlight w:val="none"/>
          <w14:textFill>
            <w14:solidFill>
              <w14:schemeClr w14:val="tx1"/>
            </w14:solidFill>
          </w14:textFill>
        </w:rPr>
        <w:t>加大低保扩围增效工作力度，做好低保审核确认工作，不得随意附加非必要限制性条件。完善低保家庭经济状况评估认定，随经济社会发展逐步调整。加强对生活困难未参保失业人员的临时救助，加强临时救助与就业政策、失业保险的政策衔接。根据实际情况及时调整变更低保类别、低保标准、补助水平，防止困难群众因易地搬迁造成漏保或者重复纳入低保。</w:t>
      </w:r>
    </w:p>
    <w:p w14:paraId="6B11E911">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完善住房保障。</w:t>
      </w:r>
      <w:r>
        <w:rPr>
          <w:rFonts w:hint="eastAsia" w:ascii="Times New Roman" w:hAnsi="Times New Roman" w:cs="仿宋"/>
          <w:smallCaps w:val="0"/>
          <w:color w:val="000000" w:themeColor="text1"/>
          <w:szCs w:val="32"/>
          <w:highlight w:val="none"/>
          <w14:textFill>
            <w14:solidFill>
              <w14:schemeClr w14:val="tx1"/>
            </w14:solidFill>
          </w14:textFill>
        </w:rPr>
        <w:t>争取国家、省房屋品质提升工程和物业服务质量提升行动支持，继续推进老旧小区建筑节能改造、房屋结构安全升级、周边道路改造，推进公主岭市播种机、富强委等老旧小区及周边道路改造项目建设。推进城市危房改造，实施城市危房改造项目，到</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2030年</w:t>
      </w:r>
      <w:r>
        <w:rPr>
          <w:rFonts w:hint="eastAsia" w:ascii="Times New Roman" w:hAnsi="Times New Roman" w:cs="仿宋"/>
          <w:smallCaps w:val="0"/>
          <w:color w:val="000000" w:themeColor="text1"/>
          <w:szCs w:val="32"/>
          <w:highlight w:val="none"/>
          <w14:textFill>
            <w14:solidFill>
              <w14:schemeClr w14:val="tx1"/>
            </w14:solidFill>
          </w14:textFill>
        </w:rPr>
        <w:t>完成全市现有CD级危房改造任务。加大保障性住房供给，推进存量商品房收购转保障房，筹集保障性住房房源，到</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2030年</w:t>
      </w:r>
      <w:r>
        <w:rPr>
          <w:rFonts w:hint="eastAsia" w:ascii="Times New Roman" w:hAnsi="Times New Roman" w:cs="仿宋"/>
          <w:smallCaps w:val="0"/>
          <w:color w:val="000000" w:themeColor="text1"/>
          <w:szCs w:val="32"/>
          <w:highlight w:val="none"/>
          <w14:textFill>
            <w14:solidFill>
              <w14:schemeClr w14:val="tx1"/>
            </w14:solidFill>
          </w14:textFill>
        </w:rPr>
        <w:t>实现1000套存量商品房转化为保障性住房。加强住房保障管理，建立健全保障性住房动态管理机制，全面落实住房公积金政策保障体系，建立健全“保交楼”后续管理衔接机制。深化物业管理改革，保持弃管小区动态清零。</w:t>
      </w:r>
    </w:p>
    <w:p w14:paraId="4FC36DD0">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加强妇女儿童、残疾人权益保障。</w:t>
      </w:r>
      <w:r>
        <w:rPr>
          <w:rFonts w:hint="eastAsia" w:ascii="Times New Roman" w:hAnsi="Times New Roman" w:cs="仿宋"/>
          <w:smallCaps w:val="0"/>
          <w:color w:val="000000" w:themeColor="text1"/>
          <w:szCs w:val="32"/>
          <w:highlight w:val="none"/>
          <w14:textFill>
            <w14:solidFill>
              <w14:schemeClr w14:val="tx1"/>
            </w14:solidFill>
          </w14:textFill>
        </w:rPr>
        <w:t>争取国家、省早孕关爱行动、孕育和出生缺陷防治能力提升计划支持，完善生育支持政策体系和激励机制，全面落实生育休假补贴制度，落实二孩、三孩的财政补贴，落实父母育儿假。坚决保障女性平等就业权益。进一步完善留守儿童、困境儿童、流动儿童关爱服务体系，探索实施“民政服务站+儿童主任”精准关爱模式，健全孤儿和事实无人抚养儿童保障机制。落实残疾人两项补贴动态管理机制，适时提高两项补贴标准及覆盖面。推进公主岭市残疾人康复中心正式投入运营，完善残疾人基本康复服务目录</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到2030年，确保</w:t>
      </w:r>
      <w:r>
        <w:rPr>
          <w:rFonts w:hint="eastAsia" w:ascii="Times New Roman" w:hAnsi="Times New Roman" w:cs="仿宋"/>
          <w:smallCaps w:val="0"/>
          <w:color w:val="000000" w:themeColor="text1"/>
          <w:szCs w:val="32"/>
          <w:highlight w:val="none"/>
          <w14:textFill>
            <w14:solidFill>
              <w14:schemeClr w14:val="tx1"/>
            </w14:solidFill>
          </w14:textFill>
        </w:rPr>
        <w:t>符合条件且有康复需求的残疾儿童康复救助率达到100%。</w:t>
      </w:r>
    </w:p>
    <w:p w14:paraId="3EE81BAB">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营造青少年成长良好环境。</w:t>
      </w:r>
      <w:r>
        <w:rPr>
          <w:rFonts w:hint="eastAsia" w:ascii="Times New Roman" w:hAnsi="Times New Roman" w:cs="仿宋"/>
          <w:smallCaps w:val="0"/>
          <w:color w:val="000000" w:themeColor="text1"/>
          <w:szCs w:val="32"/>
          <w:highlight w:val="none"/>
          <w14:textFill>
            <w14:solidFill>
              <w14:schemeClr w14:val="tx1"/>
            </w14:solidFill>
          </w14:textFill>
        </w:rPr>
        <w:t>贯彻青年优先发展理念，建设青年发展友好型县域，构建青年友好有为的生活和发展环境。完善青年发展政策，加大在青年教育供给、就业创业、住房保障、身心健康、权益维护等方面的支持力度。加强青年思想引领，健全青年在乡村振兴、科技创新、绿色发展、社会服务等各领域各岗位建功立业的组织动员机制。完善对困难青少年群体的服务保障，依法严厉打击侵害青少年合法权益的行为，有效预防青少年违法犯罪。优化青年成长环境，统筹打造符合青年特点的城市IP，发展青年特色公共空间和生活消费业态。</w:t>
      </w:r>
    </w:p>
    <w:p w14:paraId="792AC42C">
      <w:pPr>
        <w:pStyle w:val="3"/>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ascii="Times New Roman" w:hAnsi="Times New Roman"/>
          <w:smallCaps w:val="0"/>
          <w:color w:val="000000" w:themeColor="text1"/>
          <w:highlight w:val="none"/>
          <w14:textFill>
            <w14:solidFill>
              <w14:schemeClr w14:val="tx1"/>
            </w14:solidFill>
          </w14:textFill>
        </w:rPr>
      </w:pPr>
      <w:bookmarkStart w:id="310" w:name="_Toc1050922764"/>
      <w:bookmarkStart w:id="311" w:name="_Toc13581"/>
      <w:bookmarkStart w:id="312" w:name="_Toc2049228121"/>
      <w:bookmarkStart w:id="313" w:name="_Toc28719"/>
      <w:bookmarkStart w:id="314" w:name="_Toc28182"/>
      <w:bookmarkStart w:id="315" w:name="_Toc31601"/>
      <w:bookmarkStart w:id="316" w:name="_Toc6992"/>
      <w:bookmarkStart w:id="317" w:name="_Toc2705"/>
      <w:r>
        <w:rPr>
          <w:rFonts w:hint="eastAsia" w:ascii="Times New Roman" w:hAnsi="Times New Roman"/>
          <w:smallCaps w:val="0"/>
          <w:color w:val="000000" w:themeColor="text1"/>
          <w:highlight w:val="none"/>
          <w14:textFill>
            <w14:solidFill>
              <w14:schemeClr w14:val="tx1"/>
            </w14:solidFill>
          </w14:textFill>
        </w:rPr>
        <w:t>第五节 高质量打造</w:t>
      </w:r>
      <w:bookmarkEnd w:id="310"/>
      <w:bookmarkEnd w:id="311"/>
      <w:bookmarkEnd w:id="312"/>
      <w:r>
        <w:rPr>
          <w:rFonts w:hint="eastAsia" w:ascii="Times New Roman" w:hAnsi="Times New Roman"/>
          <w:smallCaps w:val="0"/>
          <w:color w:val="000000" w:themeColor="text1"/>
          <w:highlight w:val="none"/>
          <w14:textFill>
            <w14:solidFill>
              <w14:schemeClr w14:val="tx1"/>
            </w14:solidFill>
          </w14:textFill>
        </w:rPr>
        <w:t>养老服务体系</w:t>
      </w:r>
      <w:bookmarkEnd w:id="313"/>
      <w:bookmarkEnd w:id="314"/>
      <w:bookmarkEnd w:id="315"/>
      <w:bookmarkEnd w:id="316"/>
      <w:bookmarkEnd w:id="317"/>
    </w:p>
    <w:p w14:paraId="40CDDC9F">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提升养老机构建设标准。</w:t>
      </w:r>
      <w:r>
        <w:rPr>
          <w:rFonts w:hint="eastAsia" w:ascii="Times New Roman" w:hAnsi="Times New Roman" w:cs="仿宋"/>
          <w:smallCaps w:val="0"/>
          <w:color w:val="000000" w:themeColor="text1"/>
          <w:szCs w:val="32"/>
          <w:highlight w:val="none"/>
          <w14:textFill>
            <w14:solidFill>
              <w14:schemeClr w14:val="tx1"/>
            </w14:solidFill>
          </w14:textFill>
        </w:rPr>
        <w:t>放开养老服务市场，积极吸引民间资本进入养老服务行业，支持长春优质养老企业到公主岭设立分支机构或连锁运营</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鼓励建设一批民营养老机构</w:t>
      </w:r>
      <w:r>
        <w:rPr>
          <w:rFonts w:hint="eastAsia" w:ascii="Times New Roman" w:hAnsi="Times New Roman" w:cs="仿宋"/>
          <w:smallCaps w:val="0"/>
          <w:color w:val="000000" w:themeColor="text1"/>
          <w:szCs w:val="32"/>
          <w:highlight w:val="none"/>
          <w14:textFill>
            <w14:solidFill>
              <w14:schemeClr w14:val="tx1"/>
            </w14:solidFill>
          </w14:textFill>
        </w:rPr>
        <w:t>。培育和认定旅居养老示范性企业，支持开展县域养老服务体系创新试点，争取银发经济高质量发展专项资金、养老服务高质量发展专项资金支持。进一步提升养老机构建设标准，支持利用闲置存量场所改建养老服务设施。到</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2030年</w:t>
      </w:r>
      <w:r>
        <w:rPr>
          <w:rFonts w:hint="eastAsia" w:ascii="Times New Roman" w:hAnsi="Times New Roman" w:cs="仿宋"/>
          <w:smallCaps w:val="0"/>
          <w:color w:val="000000" w:themeColor="text1"/>
          <w:szCs w:val="32"/>
          <w:highlight w:val="none"/>
          <w14:textFill>
            <w14:solidFill>
              <w14:schemeClr w14:val="tx1"/>
            </w14:solidFill>
          </w14:textFill>
        </w:rPr>
        <w:t>新建区域中心养老机构10个，</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培育</w:t>
      </w:r>
      <w:r>
        <w:rPr>
          <w:rFonts w:hint="eastAsia" w:ascii="Times New Roman" w:hAnsi="Times New Roman" w:cs="仿宋"/>
          <w:smallCaps w:val="0"/>
          <w:color w:val="000000" w:themeColor="text1"/>
          <w:szCs w:val="32"/>
          <w:highlight w:val="none"/>
          <w14:textFill>
            <w14:solidFill>
              <w14:schemeClr w14:val="tx1"/>
            </w14:solidFill>
          </w14:textFill>
        </w:rPr>
        <w:t>民营养老机构10个。</w:t>
      </w:r>
    </w:p>
    <w:p w14:paraId="1A439D8A">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ascii="Times New Roman" w:hAnsi="Times New Roman" w:cs="仿宋"/>
          <w:smallCaps w:val="0"/>
          <w:color w:val="000000" w:themeColor="text1"/>
          <w:szCs w:val="32"/>
          <w:highlight w:val="none"/>
          <w14:textFill>
            <w14:solidFill>
              <w14:schemeClr w14:val="tx1"/>
            </w14:solidFill>
          </w14:textFill>
        </w:rPr>
      </w:pPr>
      <w:bookmarkStart w:id="318" w:name="_Toc8278"/>
      <w:r>
        <w:rPr>
          <w:rFonts w:hint="eastAsia" w:ascii="Times New Roman" w:hAnsi="Times New Roman" w:cs="仿宋"/>
          <w:b/>
          <w:bCs/>
          <w:smallCaps w:val="0"/>
          <w:color w:val="000000" w:themeColor="text1"/>
          <w:szCs w:val="32"/>
          <w:highlight w:val="none"/>
          <w14:textFill>
            <w14:solidFill>
              <w14:schemeClr w14:val="tx1"/>
            </w14:solidFill>
          </w14:textFill>
        </w:rPr>
        <w:t>完善居家养老服务体系建设。</w:t>
      </w:r>
      <w:r>
        <w:rPr>
          <w:rFonts w:hint="eastAsia" w:ascii="Times New Roman" w:hAnsi="Times New Roman" w:cs="仿宋"/>
          <w:smallCaps w:val="0"/>
          <w:color w:val="000000" w:themeColor="text1"/>
          <w:szCs w:val="32"/>
          <w:highlight w:val="none"/>
          <w14:textFill>
            <w14:solidFill>
              <w14:schemeClr w14:val="tx1"/>
            </w14:solidFill>
          </w14:textFill>
        </w:rPr>
        <w:t>加大对嵌入式社区居家养老服务中心的投入、运营和使用力度，依托居家养老服务中心，提供托养、日间照料、助餐等服务，打造“15分钟养老服务圈”，逐步构建布局均衡、方便可及的敬老助餐服务体系。培育居家养老服务市场主体，探索“公益+市场”模式，积极打造政府监管、企业运营、民生服务一体化的智慧养老平台，发展助餐、助浴、助洁、助行、助医、助急等上门服务。促进养老服务与家政、物业、文化、旅游、健康、教育、体育等融合发展。提升旅居康养水平，开发“养老+乡村旅游、温泉疗养”模式。</w:t>
      </w:r>
      <w:bookmarkEnd w:id="318"/>
    </w:p>
    <w:p w14:paraId="1EFD3968">
      <w:pPr>
        <w:keepNext w:val="0"/>
        <w:keepLines w:val="0"/>
        <w:pageBreakBefore w:val="0"/>
        <w:widowControl w:val="0"/>
        <w:kinsoku/>
        <w:wordWrap/>
        <w:overflowPunct/>
        <w:topLinePunct w:val="0"/>
        <w:autoSpaceDE/>
        <w:autoSpaceDN/>
        <w:bidi w:val="0"/>
        <w:adjustRightInd/>
        <w:snapToGrid/>
        <w:spacing w:line="576" w:lineRule="exact"/>
        <w:ind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强化公办养老机构作用。</w:t>
      </w:r>
      <w:r>
        <w:rPr>
          <w:rFonts w:hint="eastAsia" w:ascii="Times New Roman" w:hAnsi="Times New Roman" w:cs="仿宋"/>
          <w:smallCaps w:val="0"/>
          <w:color w:val="000000" w:themeColor="text1"/>
          <w:szCs w:val="32"/>
          <w:highlight w:val="none"/>
          <w14:textFill>
            <w14:solidFill>
              <w14:schemeClr w14:val="tx1"/>
            </w14:solidFill>
          </w14:textFill>
        </w:rPr>
        <w:t>继续推进市乡村三级养老服务网络建设，强化区域中心养老机构建设，加大现有公办养老机构改造升级力度，扩大普惠养老服务，提升失能老年人照护能力，推进公办养老院服务能力提升改造、失能失智养老服务中心新建等项目建设。加快补齐农村养老服务短板，以村级邻里互助点、农村幸福院等为依托，构建农村互助式养老服务网络。</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7"/>
        <w:gridCol w:w="6424"/>
      </w:tblGrid>
      <w:tr w14:paraId="2CEB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061" w:type="dxa"/>
            <w:gridSpan w:val="2"/>
            <w:vAlign w:val="center"/>
          </w:tcPr>
          <w:p w14:paraId="5ED7C303">
            <w:pPr>
              <w:pStyle w:val="12"/>
              <w:snapToGrid w:val="0"/>
              <w:spacing w:line="340" w:lineRule="exact"/>
              <w:ind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专栏</w:t>
            </w:r>
            <w:r>
              <w:rPr>
                <w:rFonts w:hint="eastAsia" w:ascii="Times New Roman" w:hAnsi="Times New Roman" w:eastAsia="黑体" w:cs="黑体"/>
                <w:smallCaps w:val="0"/>
                <w:color w:val="000000" w:themeColor="text1"/>
                <w:sz w:val="24"/>
                <w:szCs w:val="24"/>
                <w:highlight w:val="none"/>
                <w:lang w:val="en-US" w:eastAsia="zh-CN"/>
                <w14:textFill>
                  <w14:solidFill>
                    <w14:schemeClr w14:val="tx1"/>
                  </w14:solidFill>
                </w14:textFill>
              </w:rPr>
              <w:t xml:space="preserve">11  </w:t>
            </w:r>
            <w:r>
              <w:rPr>
                <w:rFonts w:hint="eastAsia" w:ascii="Times New Roman" w:hAnsi="Times New Roman" w:eastAsia="黑体" w:cs="黑体"/>
                <w:smallCaps w:val="0"/>
                <w:color w:val="000000" w:themeColor="text1"/>
                <w:sz w:val="24"/>
                <w:szCs w:val="24"/>
                <w:highlight w:val="none"/>
                <w14:textFill>
                  <w14:solidFill>
                    <w14:schemeClr w14:val="tx1"/>
                  </w14:solidFill>
                </w14:textFill>
              </w:rPr>
              <w:t>民生福祉重点项目</w:t>
            </w:r>
          </w:p>
        </w:tc>
      </w:tr>
      <w:tr w14:paraId="6984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74A167F4">
            <w:pPr>
              <w:pStyle w:val="5"/>
              <w:ind w:left="0"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教育体系建设重点项目</w:t>
            </w:r>
          </w:p>
        </w:tc>
        <w:tc>
          <w:tcPr>
            <w:tcW w:w="6424" w:type="dxa"/>
          </w:tcPr>
          <w:p w14:paraId="2017EECB">
            <w:pPr>
              <w:pStyle w:val="12"/>
              <w:spacing w:line="340" w:lineRule="exact"/>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城区重远学校建设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范家屯镇硅谷学校建设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智慧校园建设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双城堡镇中心小学等23所学校校舍电取暖改造</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实验小学校学生食堂建设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范家屯镇第一中学校食堂建设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校园消防安全隐患整改建设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第六中学校体育馆及附属设施建设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怀德镇第一中学校体育馆及附属设施建设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第三中学校新建教学楼及校园校舍维修改造</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职教中心校园校舍升级改造</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乡镇学校旱厕改造项目。</w:t>
            </w:r>
          </w:p>
        </w:tc>
      </w:tr>
      <w:tr w14:paraId="42FB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265390F8">
            <w:pPr>
              <w:pStyle w:val="5"/>
              <w:ind w:left="0"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全民健康领域重点项目</w:t>
            </w:r>
          </w:p>
        </w:tc>
        <w:tc>
          <w:tcPr>
            <w:tcW w:w="6424" w:type="dxa"/>
          </w:tcPr>
          <w:p w14:paraId="64470C53">
            <w:pPr>
              <w:pStyle w:val="12"/>
              <w:spacing w:line="340" w:lineRule="exact"/>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推进实施</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吉林省第一荣复军人医院荣军楼、第三人民医院异地新建等项目建设</w:t>
            </w:r>
            <w:r>
              <w:rPr>
                <w:rFonts w:hint="eastAsia" w:ascii="Times New Roman" w:hAnsi="Times New Roman" w:eastAsia="仿宋" w:cs="仿宋"/>
                <w:smallCaps w:val="0"/>
                <w:color w:val="000000" w:themeColor="text1"/>
                <w:sz w:val="24"/>
                <w:szCs w:val="24"/>
                <w:highlight w:val="none"/>
                <w:lang w:eastAsia="zh-CN"/>
                <w14:textFill>
                  <w14:solidFill>
                    <w14:schemeClr w14:val="tx1"/>
                  </w14:solidFill>
                </w14:textFill>
              </w:rPr>
              <w:t>；</w:t>
            </w:r>
            <w:r>
              <w:rPr>
                <w:rFonts w:hint="eastAsia" w:ascii="Times New Roman" w:hAnsi="Times New Roman" w:eastAsia="仿宋"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eastAsia="仿宋" w:cs="仿宋"/>
                <w:smallCaps w:val="0"/>
                <w:color w:val="000000" w:themeColor="text1"/>
                <w:sz w:val="24"/>
                <w:szCs w:val="24"/>
                <w:highlight w:val="none"/>
                <w14:textFill>
                  <w14:solidFill>
                    <w14:schemeClr w14:val="tx1"/>
                  </w14:solidFill>
                </w14:textFill>
              </w:rPr>
              <w:t>范家屯镇中心医院扩建、公主岭市中心卫生院服务能力提升及二级医院达标建设、公办精神病院等项目建设。</w:t>
            </w:r>
          </w:p>
        </w:tc>
      </w:tr>
      <w:tr w14:paraId="1EC6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4FFBB743">
            <w:pPr>
              <w:pStyle w:val="12"/>
              <w:snapToGrid w:val="0"/>
              <w:spacing w:line="340" w:lineRule="exact"/>
              <w:ind w:firstLine="0" w:firstLineChars="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养老服务领域重点项目</w:t>
            </w:r>
          </w:p>
        </w:tc>
        <w:tc>
          <w:tcPr>
            <w:tcW w:w="6424" w:type="dxa"/>
          </w:tcPr>
          <w:p w14:paraId="3E5A1261">
            <w:pPr>
              <w:pStyle w:val="5"/>
              <w:spacing w:line="340" w:lineRule="exact"/>
              <w:ind w:left="0"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 w:val="24"/>
                <w:szCs w:val="24"/>
                <w:highlight w:val="none"/>
                <w14:textFill>
                  <w14:solidFill>
                    <w14:schemeClr w14:val="tx1"/>
                  </w14:solidFill>
                </w14:textFill>
              </w:rPr>
              <w:t>谋划推动</w:t>
            </w:r>
            <w:r>
              <w:rPr>
                <w:rFonts w:hint="eastAsia" w:ascii="Times New Roman" w:hAnsi="Times New Roman" w:cs="仿宋"/>
                <w:smallCaps w:val="0"/>
                <w:color w:val="000000" w:themeColor="text1"/>
                <w:sz w:val="24"/>
                <w:szCs w:val="24"/>
                <w:highlight w:val="none"/>
                <w14:textFill>
                  <w14:solidFill>
                    <w14:schemeClr w14:val="tx1"/>
                  </w14:solidFill>
                </w14:textFill>
              </w:rPr>
              <w:t>公办养老院服务能力提升、养老机构智慧康养平台、怀德养老院建设等项目建设。</w:t>
            </w:r>
          </w:p>
        </w:tc>
      </w:tr>
    </w:tbl>
    <w:p w14:paraId="6758434D">
      <w:pPr>
        <w:pStyle w:val="5"/>
        <w:keepNext w:val="0"/>
        <w:keepLines w:val="0"/>
        <w:pageBreakBefore w:val="0"/>
        <w:widowControl w:val="0"/>
        <w:kinsoku/>
        <w:wordWrap/>
        <w:overflowPunct/>
        <w:topLinePunct w:val="0"/>
        <w:autoSpaceDE/>
        <w:autoSpaceDN/>
        <w:bidi w:val="0"/>
        <w:adjustRightInd/>
        <w:snapToGrid/>
        <w:spacing w:line="576" w:lineRule="exact"/>
        <w:ind w:left="0" w:firstLine="400"/>
        <w:textAlignment w:val="auto"/>
        <w:rPr>
          <w:rFonts w:ascii="Times New Roman" w:hAnsi="Times New Roman"/>
          <w:smallCaps w:val="0"/>
          <w:color w:val="000000" w:themeColor="text1"/>
          <w:highlight w:val="none"/>
          <w14:textFill>
            <w14:solidFill>
              <w14:schemeClr w14:val="tx1"/>
            </w14:solidFill>
          </w14:textFill>
        </w:rPr>
      </w:pPr>
    </w:p>
    <w:p w14:paraId="3D581A55">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smallCaps w:val="0"/>
          <w:color w:val="000000" w:themeColor="text1"/>
          <w:highlight w:val="none"/>
          <w14:textFill>
            <w14:solidFill>
              <w14:schemeClr w14:val="tx1"/>
            </w14:solidFill>
          </w14:textFill>
        </w:rPr>
      </w:pPr>
      <w:bookmarkStart w:id="319" w:name="_Toc6237"/>
      <w:bookmarkStart w:id="320" w:name="_Toc1615"/>
      <w:bookmarkStart w:id="321" w:name="_Toc15672"/>
      <w:bookmarkStart w:id="322" w:name="_Toc21223"/>
      <w:r>
        <w:rPr>
          <w:rFonts w:hint="eastAsia" w:ascii="Times New Roman" w:hAnsi="Times New Roman"/>
          <w:smallCaps w:val="0"/>
          <w:color w:val="000000" w:themeColor="text1"/>
          <w:highlight w:val="none"/>
          <w14:textFill>
            <w14:solidFill>
              <w14:schemeClr w14:val="tx1"/>
            </w14:solidFill>
          </w14:textFill>
        </w:rPr>
        <w:t>第十</w:t>
      </w:r>
      <w:r>
        <w:rPr>
          <w:rFonts w:hint="eastAsia" w:ascii="Times New Roman" w:hAnsi="Times New Roman"/>
          <w:smallCaps w:val="0"/>
          <w:color w:val="000000" w:themeColor="text1"/>
          <w:highlight w:val="none"/>
          <w:lang w:eastAsia="zh-CN"/>
          <w14:textFill>
            <w14:solidFill>
              <w14:schemeClr w14:val="tx1"/>
            </w14:solidFill>
          </w14:textFill>
        </w:rPr>
        <w:t>一</w:t>
      </w:r>
      <w:r>
        <w:rPr>
          <w:rFonts w:hint="eastAsia" w:ascii="Times New Roman" w:hAnsi="Times New Roman"/>
          <w:smallCaps w:val="0"/>
          <w:color w:val="000000" w:themeColor="text1"/>
          <w:highlight w:val="none"/>
          <w14:textFill>
            <w14:solidFill>
              <w14:schemeClr w14:val="tx1"/>
            </w14:solidFill>
          </w14:textFill>
        </w:rPr>
        <w:t xml:space="preserve">章 </w:t>
      </w:r>
      <w:r>
        <w:rPr>
          <w:rFonts w:hint="eastAsia" w:ascii="Times New Roman" w:hAnsi="Times New Roman"/>
          <w:smallCaps w:val="0"/>
          <w:color w:val="000000" w:themeColor="text1"/>
          <w:szCs w:val="32"/>
          <w:highlight w:val="none"/>
          <w14:textFill>
            <w14:solidFill>
              <w14:schemeClr w14:val="tx1"/>
            </w14:solidFill>
          </w14:textFill>
        </w:rPr>
        <w:t>践行社会主义核心价值观</w:t>
      </w:r>
      <w:r>
        <w:rPr>
          <w:rFonts w:hint="eastAsia" w:ascii="Times New Roman" w:hAnsi="Times New Roman"/>
          <w:smallCaps w:val="0"/>
          <w:color w:val="000000" w:themeColor="text1"/>
          <w:highlight w:val="none"/>
          <w14:textFill>
            <w14:solidFill>
              <w14:schemeClr w14:val="tx1"/>
            </w14:solidFill>
          </w14:textFill>
        </w:rPr>
        <w:t>，着力</w:t>
      </w:r>
      <w:r>
        <w:rPr>
          <w:rFonts w:hint="eastAsia" w:ascii="Times New Roman" w:hAnsi="Times New Roman"/>
          <w:smallCaps w:val="0"/>
          <w:color w:val="000000" w:themeColor="text1"/>
          <w:szCs w:val="32"/>
          <w:highlight w:val="none"/>
          <w14:textFill>
            <w14:solidFill>
              <w14:schemeClr w14:val="tx1"/>
            </w14:solidFill>
          </w14:textFill>
        </w:rPr>
        <w:t>建设文明公主岭</w:t>
      </w:r>
      <w:bookmarkEnd w:id="319"/>
      <w:bookmarkEnd w:id="320"/>
      <w:bookmarkEnd w:id="321"/>
      <w:bookmarkEnd w:id="322"/>
    </w:p>
    <w:p w14:paraId="601B96FE">
      <w:pPr>
        <w:keepNext w:val="0"/>
        <w:keepLines w:val="0"/>
        <w:pageBreakBefore w:val="0"/>
        <w:widowControl w:val="0"/>
        <w:kinsoku/>
        <w:wordWrap/>
        <w:overflowPunct/>
        <w:topLinePunct w:val="0"/>
        <w:autoSpaceDE/>
        <w:autoSpaceDN/>
        <w:bidi w:val="0"/>
        <w:adjustRightInd/>
        <w:snapToGrid/>
        <w:spacing w:line="576" w:lineRule="exact"/>
        <w:ind w:left="0" w:firstLine="640"/>
        <w:jc w:val="left"/>
        <w:textAlignment w:val="auto"/>
        <w:rPr>
          <w:rFonts w:ascii="Times New Roman" w:hAnsi="Times New Roman"/>
          <w:smallCaps w:val="0"/>
          <w:color w:val="000000" w:themeColor="text1"/>
          <w:szCs w:val="32"/>
          <w:highlight w:val="none"/>
          <w14:textFill>
            <w14:solidFill>
              <w14:schemeClr w14:val="tx1"/>
            </w14:solidFill>
          </w14:textFill>
        </w:rPr>
      </w:pPr>
    </w:p>
    <w:p w14:paraId="32A36F12">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践行社会主义核心价值观，增强文化自信，深入挖掘</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历史</w:t>
      </w:r>
      <w:r>
        <w:rPr>
          <w:rFonts w:hint="eastAsia" w:ascii="Times New Roman" w:hAnsi="Times New Roman" w:cs="仿宋"/>
          <w:smallCaps w:val="0"/>
          <w:color w:val="000000" w:themeColor="text1"/>
          <w:szCs w:val="32"/>
          <w:highlight w:val="none"/>
          <w14:textFill>
            <w14:solidFill>
              <w14:schemeClr w14:val="tx1"/>
            </w14:solidFill>
          </w14:textFill>
        </w:rPr>
        <w:t>文化、红色基因、非遗传承等特色资源，着力繁荣文化事业与文化产业，全面提升公共文化服务水平，建设新时代文明公主岭。</w:t>
      </w:r>
    </w:p>
    <w:p w14:paraId="3193078F">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23" w:name="_Toc13564"/>
      <w:bookmarkStart w:id="324" w:name="_Toc22782"/>
      <w:bookmarkStart w:id="325" w:name="_Toc433"/>
      <w:bookmarkStart w:id="326" w:name="_Toc2976"/>
      <w:bookmarkStart w:id="327" w:name="_Toc26149"/>
      <w:r>
        <w:rPr>
          <w:rFonts w:hint="eastAsia" w:ascii="Times New Roman" w:hAnsi="Times New Roman"/>
          <w:smallCaps w:val="0"/>
          <w:color w:val="000000" w:themeColor="text1"/>
          <w:highlight w:val="none"/>
          <w14:textFill>
            <w14:solidFill>
              <w14:schemeClr w14:val="tx1"/>
            </w14:solidFill>
          </w14:textFill>
        </w:rPr>
        <w:t>第一节 践行社会主义核心价值观</w:t>
      </w:r>
      <w:bookmarkEnd w:id="323"/>
      <w:bookmarkEnd w:id="324"/>
      <w:bookmarkEnd w:id="325"/>
      <w:bookmarkEnd w:id="326"/>
      <w:bookmarkEnd w:id="327"/>
    </w:p>
    <w:p w14:paraId="525622B8">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扎实推进理想信念教育。</w:t>
      </w:r>
      <w:r>
        <w:rPr>
          <w:rFonts w:hint="eastAsia" w:ascii="Times New Roman" w:hAnsi="Times New Roman" w:cs="仿宋"/>
          <w:smallCaps w:val="0"/>
          <w:color w:val="000000" w:themeColor="text1"/>
          <w:szCs w:val="32"/>
          <w:highlight w:val="none"/>
          <w14:textFill>
            <w14:solidFill>
              <w14:schemeClr w14:val="tx1"/>
            </w14:solidFill>
          </w14:textFill>
        </w:rPr>
        <w:t>常态化制度化抓好党史学习教育、“四史”宣传教育，围绕红色资源深入开展革命传统教育、爱国主义教育、形势政策教育。贯彻落实《中国共产党思想政治工作条例》，持续提升企业、农村、机关、学校、社区等领域思想政治工作水平。坚定中国特色社会主义共同理想，谋划庆祝中华人民共和国成立80周年、中国人民解放军建军100周年等系列活动。全面提升各级各类爱国主义教育基地的管理和使用水平。推进中小学思想政治教育一体化建设。</w:t>
      </w:r>
    </w:p>
    <w:p w14:paraId="1E314FB0">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着力推进城市文明建设</w:t>
      </w:r>
      <w:r>
        <w:rPr>
          <w:rFonts w:hint="eastAsia" w:ascii="Times New Roman" w:hAnsi="Times New Roman" w:cs="仿宋"/>
          <w:smallCaps w:val="0"/>
          <w:color w:val="000000" w:themeColor="text1"/>
          <w:szCs w:val="32"/>
          <w:highlight w:val="none"/>
          <w14:textFill>
            <w14:solidFill>
              <w14:schemeClr w14:val="tx1"/>
            </w14:solidFill>
          </w14:textFill>
        </w:rPr>
        <w:t>。统筹推进文明培育、文明实践、文明创建，不断提升城市精细化管理水平、居民文明素质和社会文明程度。强化新时代文明实践中心“文明实践+”模式创新，与公共文化服务、社区服务及群众需要的生活服务有机融合，不断丰富文明实践阵地功能。</w:t>
      </w:r>
    </w:p>
    <w:p w14:paraId="67482634">
      <w:pPr>
        <w:keepNext w:val="0"/>
        <w:keepLines w:val="0"/>
        <w:pageBreakBefore w:val="0"/>
        <w:widowControl w:val="0"/>
        <w:kinsoku/>
        <w:wordWrap/>
        <w:overflowPunct/>
        <w:topLinePunct w:val="0"/>
        <w:autoSpaceDE/>
        <w:autoSpaceDN/>
        <w:bidi w:val="0"/>
        <w:adjustRightInd/>
        <w:snapToGrid/>
        <w:spacing w:line="576" w:lineRule="exact"/>
        <w:ind w:left="0" w:firstLine="643"/>
        <w:jc w:val="center"/>
        <w:textAlignment w:val="auto"/>
        <w:rPr>
          <w:rFonts w:ascii="Times New Roman" w:hAnsi="Times New Roman" w:eastAsia="楷体"/>
          <w:smallCaps w:val="0"/>
          <w:color w:val="000000" w:themeColor="text1"/>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全力加强城市品牌建设。</w:t>
      </w:r>
      <w:r>
        <w:rPr>
          <w:rFonts w:hint="eastAsia" w:ascii="Times New Roman" w:hAnsi="Times New Roman" w:cs="仿宋"/>
          <w:smallCaps w:val="0"/>
          <w:color w:val="000000" w:themeColor="text1"/>
          <w:szCs w:val="32"/>
          <w:highlight w:val="none"/>
          <w14:textFill>
            <w14:solidFill>
              <w14:schemeClr w14:val="tx1"/>
            </w14:solidFill>
          </w14:textFill>
        </w:rPr>
        <w:t>充分发挥“德”文化在城市发展中的引领作用，彰显“德治”在城乡多元治理体系中的作用。精准对接民生关切与发展需求，聚焦教育提质、医疗优化、养老保障、交通畅达、文体繁荣、就业创业等民生关键领域，将“德行天下公主岭”城市品牌融入全市经济社会发展各领域，内化于心、外化于行、惠及民生，形成全域共建、全民共享的品牌建设格局。</w:t>
      </w:r>
      <w:bookmarkStart w:id="328" w:name="_Toc23471"/>
      <w:bookmarkStart w:id="329" w:name="_Toc13102"/>
      <w:r>
        <w:rPr>
          <w:rFonts w:hint="eastAsia" w:ascii="Times New Roman" w:hAnsi="Times New Roman" w:eastAsia="楷体" w:cs="宋体"/>
          <w:smallCaps w:val="0"/>
          <w:color w:val="000000" w:themeColor="text1"/>
          <w:kern w:val="2"/>
          <w:sz w:val="32"/>
          <w:szCs w:val="24"/>
          <w:highlight w:val="none"/>
          <w:lang w:val="en-US" w:eastAsia="zh-CN" w:bidi="ar-SA"/>
          <w14:textFill>
            <w14:solidFill>
              <w14:schemeClr w14:val="tx1"/>
            </w14:solidFill>
          </w14:textFill>
        </w:rPr>
        <w:t>第二节 提升公共文化服务水平</w:t>
      </w:r>
      <w:bookmarkEnd w:id="328"/>
      <w:bookmarkEnd w:id="329"/>
    </w:p>
    <w:p w14:paraId="4D588AEF">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提高城乡公共文化服务质效。</w:t>
      </w:r>
      <w:r>
        <w:rPr>
          <w:rFonts w:hint="eastAsia" w:ascii="Times New Roman" w:hAnsi="Times New Roman" w:cs="仿宋"/>
          <w:smallCaps w:val="0"/>
          <w:color w:val="000000" w:themeColor="text1"/>
          <w:szCs w:val="32"/>
          <w:highlight w:val="none"/>
          <w14:textFill>
            <w14:solidFill>
              <w14:schemeClr w14:val="tx1"/>
            </w14:solidFill>
          </w14:textFill>
        </w:rPr>
        <w:t>推进文化公共服务设施向农村延伸，打造家门口的“文化圈”，提升社区文化活动室、农村文化大院服务功能，推进村级文化服务中心全覆盖。推动“文图博”三馆服务功能走出现有场所，走进村屯、社区、公园广场，让文化服务走进群众。深化文化惠民工程，</w:t>
      </w:r>
      <w:r>
        <w:rPr>
          <w:rFonts w:hint="eastAsia" w:ascii="Times New Roman" w:hAnsi="Times New Roman" w:cs="仿宋"/>
          <w:smallCaps w:val="0"/>
          <w:color w:val="000000" w:themeColor="text1"/>
          <w:szCs w:val="32"/>
          <w:highlight w:val="none"/>
          <w:lang w:eastAsia="zh-CN"/>
          <w14:textFill>
            <w14:solidFill>
              <w14:schemeClr w14:val="tx1"/>
            </w14:solidFill>
          </w14:textFill>
        </w:rPr>
        <w:t>开展“我们的中国梦－</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文化进万家</w:t>
      </w:r>
      <w:r>
        <w:rPr>
          <w:rFonts w:hint="eastAsia" w:ascii="Times New Roman" w:hAnsi="Times New Roman" w:cs="仿宋"/>
          <w:smallCaps w:val="0"/>
          <w:color w:val="000000" w:themeColor="text1"/>
          <w:szCs w:val="32"/>
          <w:highlight w:val="none"/>
          <w:lang w:eastAsia="zh-CN"/>
          <w14:textFill>
            <w14:solidFill>
              <w14:schemeClr w14:val="tx1"/>
            </w14:solidFill>
          </w14:textFill>
        </w:rPr>
        <w:t>”等群众性文化活动</w:t>
      </w:r>
      <w:r>
        <w:rPr>
          <w:rFonts w:hint="eastAsia" w:ascii="Times New Roman" w:hAnsi="Times New Roman" w:cs="仿宋"/>
          <w:smallCaps w:val="0"/>
          <w:color w:val="000000" w:themeColor="text1"/>
          <w:szCs w:val="32"/>
          <w:highlight w:val="none"/>
          <w14:textFill>
            <w14:solidFill>
              <w14:schemeClr w14:val="tx1"/>
            </w14:solidFill>
          </w14:textFill>
        </w:rPr>
        <w:t xml:space="preserve">，丰富人民群众精神生活。 </w:t>
      </w:r>
    </w:p>
    <w:p w14:paraId="702FBE34">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strike w:val="0"/>
          <w:color w:val="000000" w:themeColor="text1"/>
          <w:szCs w:val="32"/>
          <w:highlight w:val="none"/>
          <w14:textFill>
            <w14:solidFill>
              <w14:schemeClr w14:val="tx1"/>
            </w14:solidFill>
          </w14:textFill>
        </w:rPr>
      </w:pPr>
      <w:r>
        <w:rPr>
          <w:rFonts w:hint="eastAsia" w:ascii="Times New Roman" w:hAnsi="Times New Roman" w:cs="仿宋"/>
          <w:b/>
          <w:bCs/>
          <w:smallCaps w:val="0"/>
          <w:strike w:val="0"/>
          <w:dstrike w:val="0"/>
          <w:color w:val="000000" w:themeColor="text1"/>
          <w:szCs w:val="32"/>
          <w:highlight w:val="none"/>
          <w14:textFill>
            <w14:solidFill>
              <w14:schemeClr w14:val="tx1"/>
            </w14:solidFill>
          </w14:textFill>
        </w:rPr>
        <w:t>完善城乡公共文化服务体系。</w:t>
      </w:r>
      <w:r>
        <w:rPr>
          <w:rFonts w:hint="eastAsia" w:ascii="Times New Roman" w:hAnsi="Times New Roman" w:cs="仿宋"/>
          <w:smallCaps w:val="0"/>
          <w:strike w:val="0"/>
          <w:dstrike w:val="0"/>
          <w:color w:val="000000" w:themeColor="text1"/>
          <w:szCs w:val="32"/>
          <w:highlight w:val="none"/>
          <w14:textFill>
            <w14:solidFill>
              <w14:schemeClr w14:val="tx1"/>
            </w14:solidFill>
          </w14:textFill>
        </w:rPr>
        <w:t>推进文化事业单位改革，统筹编制资源与动态管理，继续优化全市以及各乡镇文化事业单位机构设置与职能体系。加强人才队伍建设，健全配套管理与运行机制。完善文化事业单位考核体系，引导事业单位履职尽责、干事创业。探索“民办公助”“合作共建”模式，鼓励社会资本参与铁路历史文化街区、杜重远公园等公共文化服务项目建设运营。完善文化市场综合执法机制，规范网络文化、娱乐演出等领域监管，构建开放竞争市场环境。</w:t>
      </w:r>
    </w:p>
    <w:p w14:paraId="3E7C2BF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促进县域融媒体高质量发展。</w:t>
      </w:r>
      <w:r>
        <w:rPr>
          <w:rFonts w:hint="eastAsia" w:ascii="Times New Roman" w:hAnsi="Times New Roman" w:cs="仿宋"/>
          <w:smallCaps w:val="0"/>
          <w:color w:val="000000" w:themeColor="text1"/>
          <w:szCs w:val="32"/>
          <w:highlight w:val="none"/>
          <w14:textFill>
            <w14:solidFill>
              <w14:schemeClr w14:val="tx1"/>
            </w14:solidFill>
          </w14:textFill>
        </w:rPr>
        <w:t>构建主流媒体发展新格局，进一步理顺县域融媒体发展路径，打造宣传党的主张、反映人民心声、服务基层治理的县域强媒。</w:t>
      </w:r>
      <w:r>
        <w:rPr>
          <w:rFonts w:hint="eastAsia" w:ascii="Times New Roman" w:hAnsi="Times New Roman" w:eastAsia="仿宋" w:cs="仿宋"/>
          <w:b w:val="0"/>
          <w:bCs w:val="0"/>
          <w:color w:val="auto"/>
          <w:kern w:val="0"/>
          <w:sz w:val="31"/>
          <w:szCs w:val="31"/>
          <w:lang w:val="en-US" w:eastAsia="zh-CN" w:bidi="ar"/>
        </w:rPr>
        <w:t>加大现代化产业体系、城乡融合发展、改革创新和民生福祉等相关内容的策划</w:t>
      </w:r>
      <w:r>
        <w:rPr>
          <w:rFonts w:hint="eastAsia" w:ascii="Times New Roman" w:hAnsi="Times New Roman" w:cs="仿宋"/>
          <w:b w:val="0"/>
          <w:bCs w:val="0"/>
          <w:color w:val="auto"/>
          <w:kern w:val="0"/>
          <w:sz w:val="31"/>
          <w:szCs w:val="31"/>
          <w:lang w:val="en-US" w:eastAsia="zh-CN" w:bidi="ar"/>
        </w:rPr>
        <w:t>，</w:t>
      </w:r>
      <w:r>
        <w:rPr>
          <w:rFonts w:hint="eastAsia" w:ascii="Times New Roman" w:hAnsi="Times New Roman" w:cs="仿宋"/>
          <w:smallCaps w:val="0"/>
          <w:color w:val="000000" w:themeColor="text1"/>
          <w:szCs w:val="32"/>
          <w:highlight w:val="none"/>
          <w14:textFill>
            <w14:solidFill>
              <w14:schemeClr w14:val="tx1"/>
            </w14:solidFill>
          </w14:textFill>
        </w:rPr>
        <w:t>加强与吉林省、长春市主流媒体的合作，传播公主岭声音，讲好公主岭故事，</w:t>
      </w:r>
      <w:r>
        <w:rPr>
          <w:rFonts w:hint="eastAsia" w:ascii="Times New Roman" w:hAnsi="Times New Roman" w:cs="仿宋"/>
          <w:smallCaps w:val="0"/>
          <w:color w:val="000000" w:themeColor="text1"/>
          <w:szCs w:val="32"/>
          <w:highlight w:val="none"/>
          <w:lang w:eastAsia="zh-CN"/>
          <w14:textFill>
            <w14:solidFill>
              <w14:schemeClr w14:val="tx1"/>
            </w14:solidFill>
          </w14:textFill>
        </w:rPr>
        <w:t>强化用户黏性</w:t>
      </w:r>
      <w:r>
        <w:rPr>
          <w:rFonts w:hint="eastAsia" w:ascii="Times New Roman" w:hAnsi="Times New Roman" w:cs="仿宋"/>
          <w:smallCaps w:val="0"/>
          <w:color w:val="000000" w:themeColor="text1"/>
          <w:szCs w:val="32"/>
          <w:highlight w:val="none"/>
          <w14:textFill>
            <w14:solidFill>
              <w14:schemeClr w14:val="tx1"/>
            </w14:solidFill>
          </w14:textFill>
        </w:rPr>
        <w:t>、内容建设、服务功能、技术服务等，打通媒体融合“最后一公里”。</w:t>
      </w:r>
    </w:p>
    <w:p w14:paraId="69D684D2">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30" w:name="_Toc523"/>
      <w:bookmarkStart w:id="331" w:name="_Toc11987"/>
      <w:bookmarkStart w:id="332" w:name="_Toc6071"/>
      <w:bookmarkStart w:id="333" w:name="_Toc13686"/>
      <w:bookmarkStart w:id="334" w:name="_Toc5472"/>
      <w:r>
        <w:rPr>
          <w:rFonts w:hint="eastAsia" w:ascii="Times New Roman" w:hAnsi="Times New Roman"/>
          <w:smallCaps w:val="0"/>
          <w:color w:val="000000" w:themeColor="text1"/>
          <w:highlight w:val="none"/>
          <w14:textFill>
            <w14:solidFill>
              <w14:schemeClr w14:val="tx1"/>
            </w14:solidFill>
          </w14:textFill>
        </w:rPr>
        <w:t>第三节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推动文化产业加速振兴</w:t>
      </w:r>
      <w:bookmarkEnd w:id="330"/>
      <w:bookmarkEnd w:id="331"/>
      <w:bookmarkEnd w:id="332"/>
      <w:bookmarkEnd w:id="333"/>
      <w:bookmarkEnd w:id="334"/>
    </w:p>
    <w:p w14:paraId="66F588A4">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bookmarkStart w:id="335" w:name="_Toc216"/>
      <w:bookmarkStart w:id="336" w:name="_Toc2905"/>
      <w:bookmarkStart w:id="337" w:name="_Toc13461"/>
      <w:r>
        <w:rPr>
          <w:rFonts w:hint="eastAsia" w:ascii="Times New Roman" w:hAnsi="Times New Roman" w:cs="仿宋"/>
          <w:b/>
          <w:bCs/>
          <w:smallCaps w:val="0"/>
          <w:color w:val="000000" w:themeColor="text1"/>
          <w:szCs w:val="32"/>
          <w:highlight w:val="none"/>
          <w14:textFill>
            <w14:solidFill>
              <w14:schemeClr w14:val="tx1"/>
            </w14:solidFill>
          </w14:textFill>
        </w:rPr>
        <w:t>加强文艺精品创作。</w:t>
      </w:r>
      <w:r>
        <w:rPr>
          <w:rFonts w:hint="eastAsia" w:ascii="Times New Roman" w:hAnsi="Times New Roman" w:cs="仿宋"/>
          <w:smallCaps w:val="0"/>
          <w:color w:val="000000" w:themeColor="text1"/>
          <w:szCs w:val="32"/>
          <w:highlight w:val="none"/>
          <w14:textFill>
            <w14:solidFill>
              <w14:schemeClr w14:val="tx1"/>
            </w14:solidFill>
          </w14:textFill>
        </w:rPr>
        <w:t>依托公主岭历史文化底蕴，围绕张云祥、杜重远、马占山等历史文化名人</w:t>
      </w:r>
      <w:r>
        <w:rPr>
          <w:rFonts w:hint="eastAsia" w:ascii="Times New Roman" w:hAnsi="Times New Roman" w:cs="仿宋"/>
          <w:smallCaps w:val="0"/>
          <w:color w:val="000000" w:themeColor="text1"/>
          <w:szCs w:val="32"/>
          <w:highlight w:val="none"/>
          <w:lang w:eastAsia="zh-CN"/>
          <w14:textFill>
            <w14:solidFill>
              <w14:schemeClr w14:val="tx1"/>
            </w14:solidFill>
          </w14:textFill>
        </w:rPr>
        <w:t>深耕题材创作</w:t>
      </w:r>
      <w:r>
        <w:rPr>
          <w:rFonts w:hint="eastAsia" w:ascii="Times New Roman" w:hAnsi="Times New Roman" w:cs="仿宋"/>
          <w:smallCaps w:val="0"/>
          <w:color w:val="000000" w:themeColor="text1"/>
          <w:szCs w:val="32"/>
          <w:highlight w:val="none"/>
          <w14:textFill>
            <w14:solidFill>
              <w14:schemeClr w14:val="tx1"/>
            </w14:solidFill>
          </w14:textFill>
        </w:rPr>
        <w:t xml:space="preserve">。鼓励文艺工作者深入基层采风，围绕乡村风貌、时节更迭与美好生活，推出一批反映时代气息、富有地域特色的优秀群众文艺作品，全方位展现公主岭文化魅力，增强本土文化认同感。 </w:t>
      </w:r>
    </w:p>
    <w:p w14:paraId="3C75330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发展数字文化新业态</w:t>
      </w:r>
      <w:r>
        <w:rPr>
          <w:rFonts w:hint="eastAsia" w:ascii="Times New Roman" w:hAnsi="Times New Roman" w:cs="仿宋"/>
          <w:b/>
          <w:bCs/>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 xml:space="preserve">依托数字技术赋能传统文化产业，鼓励创作数字化文化产品，支持文化场馆数字化改造和云端服务。整合历史民俗、红色文化等资源，推动文化资源共享与IP 开发。鼓励开发VR文旅体验、短视频推广等数字化产品，培育具有影响力的新媒体账号，构建线上线下联动的文旅消费新场景。 </w:t>
      </w:r>
    </w:p>
    <w:p w14:paraId="0FF9AA6B">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38" w:name="_Toc11258"/>
      <w:bookmarkStart w:id="339" w:name="_Toc14548"/>
      <w:r>
        <w:rPr>
          <w:rFonts w:hint="eastAsia" w:ascii="Times New Roman" w:hAnsi="Times New Roman"/>
          <w:smallCaps w:val="0"/>
          <w:color w:val="000000" w:themeColor="text1"/>
          <w:highlight w:val="none"/>
          <w14:textFill>
            <w14:solidFill>
              <w14:schemeClr w14:val="tx1"/>
            </w14:solidFill>
          </w14:textFill>
        </w:rPr>
        <w:t>第四节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有序开发历史文化资源</w:t>
      </w:r>
      <w:bookmarkEnd w:id="335"/>
      <w:bookmarkEnd w:id="336"/>
      <w:bookmarkEnd w:id="337"/>
      <w:bookmarkEnd w:id="338"/>
      <w:bookmarkEnd w:id="339"/>
    </w:p>
    <w:p w14:paraId="56931BB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bookmarkStart w:id="340" w:name="_Toc24716"/>
      <w:bookmarkStart w:id="341" w:name="_Toc9004"/>
      <w:r>
        <w:rPr>
          <w:rFonts w:hint="eastAsia" w:ascii="Times New Roman" w:hAnsi="Times New Roman" w:cs="仿宋"/>
          <w:b/>
          <w:bCs/>
          <w:smallCaps w:val="0"/>
          <w:color w:val="000000" w:themeColor="text1"/>
          <w:szCs w:val="32"/>
          <w:highlight w:val="none"/>
          <w14:textFill>
            <w14:solidFill>
              <w14:schemeClr w14:val="tx1"/>
            </w14:solidFill>
          </w14:textFill>
        </w:rPr>
        <w:t>挖掘特色文化资源。</w:t>
      </w:r>
      <w:r>
        <w:rPr>
          <w:rFonts w:hint="eastAsia" w:ascii="Times New Roman" w:hAnsi="Times New Roman" w:cs="仿宋"/>
          <w:smallCaps w:val="0"/>
          <w:color w:val="000000" w:themeColor="text1"/>
          <w:szCs w:val="32"/>
          <w:highlight w:val="none"/>
          <w14:textFill>
            <w14:solidFill>
              <w14:schemeClr w14:val="tx1"/>
            </w14:solidFill>
          </w14:textFill>
        </w:rPr>
        <w:t>坚持以文化赋能发展，聚焦公主岭市历史文化、农耕文化、红色文化、廉政文化、非遗专题等，推动文化资源保护传承与城市建设、乡村振兴、产业升级同频共振。协同产权单位，推动中东铁路建筑群</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公主岭俄式建筑群</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等</w:t>
      </w:r>
      <w:r>
        <w:rPr>
          <w:rFonts w:hint="eastAsia" w:ascii="Times New Roman" w:hAnsi="Times New Roman" w:cs="仿宋"/>
          <w:smallCaps w:val="0"/>
          <w:color w:val="000000" w:themeColor="text1"/>
          <w:szCs w:val="32"/>
          <w:highlight w:val="none"/>
          <w14:textFill>
            <w14:solidFill>
              <w14:schemeClr w14:val="tx1"/>
            </w14:solidFill>
          </w14:textFill>
        </w:rPr>
        <w:t>历史建筑的修缮与活化利用</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 xml:space="preserve">精心打造特色旅游线路，谋划开展研学游、非遗展示、主题市集等文旅活动。 </w:t>
      </w:r>
    </w:p>
    <w:p w14:paraId="6F442892">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保护传承城市历史文化。</w:t>
      </w:r>
      <w:r>
        <w:rPr>
          <w:rFonts w:hint="eastAsia" w:ascii="Times New Roman" w:hAnsi="Times New Roman" w:cs="仿宋"/>
          <w:smallCaps w:val="0"/>
          <w:color w:val="000000" w:themeColor="text1"/>
          <w:szCs w:val="32"/>
          <w:highlight w:val="none"/>
          <w14:textFill>
            <w14:solidFill>
              <w14:schemeClr w14:val="tx1"/>
            </w14:solidFill>
          </w14:textFill>
        </w:rPr>
        <w:t>加大文物保护法宣传力度，建立常态化保护巡查机制，增强全社会依法保护文物的意识。积极向上争取政策，推进伪满怀德县公署旧址保护开发</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 xml:space="preserve">深化红色基因传承，依托爱国主义教育基地等载体，持续开展红色教育活动，推动红色文化进校园、进社区、进乡村。 </w:t>
      </w:r>
    </w:p>
    <w:p w14:paraId="5C4D689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强化非遗活态传承。</w:t>
      </w:r>
      <w:r>
        <w:rPr>
          <w:rFonts w:hint="eastAsia" w:ascii="Times New Roman" w:hAnsi="Times New Roman" w:cs="仿宋"/>
          <w:smallCaps w:val="0"/>
          <w:color w:val="000000" w:themeColor="text1"/>
          <w:szCs w:val="32"/>
          <w:highlight w:val="none"/>
          <w14:textFill>
            <w14:solidFill>
              <w14:schemeClr w14:val="tx1"/>
            </w14:solidFill>
          </w14:textFill>
        </w:rPr>
        <w:t>全面梳理现存及濒危非物质文化遗产项目，包含民间故事、谚语歌谣、家训、手工技艺、戏曲曲艺等，探索传承路径，形成非物质文化遗产保护传承名录。推动剪纸、刺绣、泥塑、农民画、草编、毛线钩编等传统非遗技艺向文创化、IP化、品牌化方向发展，大力推动非遗产品进街区、进商区、进景区，推动传统手工艺与现代文创融合，实现非遗产品向高附加值旅游商品的转型升级，延伸文化产业链条。</w:t>
      </w:r>
    </w:p>
    <w:p w14:paraId="2E3F8EF7">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创建特色核心文化地标。</w:t>
      </w:r>
      <w:r>
        <w:rPr>
          <w:rFonts w:hint="eastAsia" w:ascii="Times New Roman" w:hAnsi="Times New Roman" w:cs="仿宋"/>
          <w:smallCaps w:val="0"/>
          <w:color w:val="000000" w:themeColor="text1"/>
          <w:szCs w:val="32"/>
          <w:highlight w:val="none"/>
          <w14:textFill>
            <w14:solidFill>
              <w14:schemeClr w14:val="tx1"/>
            </w14:solidFill>
          </w14:textFill>
        </w:rPr>
        <w:t>主城区重点打造铁路历史文化街区、新时代文明实践中心等点位，提升城市公共服务功能，促进文化赋能</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南部山水人文休闲区突出打造南崴子房</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身</w:t>
      </w:r>
      <w:r>
        <w:rPr>
          <w:rFonts w:hint="eastAsia" w:ascii="Times New Roman" w:hAnsi="Times New Roman" w:cs="仿宋"/>
          <w:smallCaps w:val="0"/>
          <w:color w:val="000000" w:themeColor="text1"/>
          <w:szCs w:val="32"/>
          <w:highlight w:val="none"/>
          <w14:textFill>
            <w14:solidFill>
              <w14:schemeClr w14:val="tx1"/>
            </w14:solidFill>
          </w14:textFill>
        </w:rPr>
        <w:t>岗</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子</w:t>
      </w:r>
      <w:r>
        <w:rPr>
          <w:rFonts w:hint="eastAsia" w:ascii="Times New Roman" w:hAnsi="Times New Roman" w:cs="仿宋"/>
          <w:smallCaps w:val="0"/>
          <w:color w:val="000000" w:themeColor="text1"/>
          <w:szCs w:val="32"/>
          <w:highlight w:val="none"/>
          <w14:textFill>
            <w14:solidFill>
              <w14:schemeClr w14:val="tx1"/>
            </w14:solidFill>
          </w14:textFill>
        </w:rPr>
        <w:t>村、二十家子八大岭森林公园、龙山乡大龙山文化园等，打造旅游度假风景区</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北部文化遗址区完善马占山纪念馆、怀德问心文化展馆、老念想民俗村，打造农文旅融合示范区</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长春都市圈周边</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区域</w:t>
      </w:r>
      <w:r>
        <w:rPr>
          <w:rFonts w:hint="eastAsia" w:ascii="Times New Roman" w:hAnsi="Times New Roman" w:cs="仿宋"/>
          <w:smallCaps w:val="0"/>
          <w:color w:val="000000" w:themeColor="text1"/>
          <w:szCs w:val="32"/>
          <w:highlight w:val="none"/>
          <w14:textFill>
            <w14:solidFill>
              <w14:schemeClr w14:val="tx1"/>
            </w14:solidFill>
          </w14:textFill>
        </w:rPr>
        <w:t>打</w:t>
      </w:r>
      <w:r>
        <w:rPr>
          <w:rFonts w:hint="eastAsia" w:ascii="Times New Roman" w:hAnsi="Times New Roman" w:cs="仿宋"/>
          <w:smallCaps w:val="0"/>
          <w:color w:val="000000" w:themeColor="text1"/>
          <w:szCs w:val="32"/>
          <w:highlight w:val="none"/>
          <w:lang w:eastAsia="zh-CN"/>
          <w14:textFill>
            <w14:solidFill>
              <w14:schemeClr w14:val="tx1"/>
            </w14:solidFill>
          </w14:textFill>
        </w:rPr>
        <w:t>造</w:t>
      </w:r>
      <w:r>
        <w:rPr>
          <w:rFonts w:hint="eastAsia" w:ascii="Times New Roman" w:hAnsi="Times New Roman" w:cs="仿宋"/>
          <w:smallCaps w:val="0"/>
          <w:color w:val="000000" w:themeColor="text1"/>
          <w:szCs w:val="32"/>
          <w:highlight w:val="none"/>
          <w14:textFill>
            <w14:solidFill>
              <w14:schemeClr w14:val="tx1"/>
            </w14:solidFill>
          </w14:textFill>
        </w:rPr>
        <w:t>现代农业文旅板块，创建长春半小时乡村旅游区。</w:t>
      </w:r>
    </w:p>
    <w:p w14:paraId="726EA3F9">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Times New Roman" w:hAnsi="Times New Roman"/>
          <w:smallCaps w:val="0"/>
          <w:color w:val="000000" w:themeColor="text1"/>
          <w:highlight w:val="none"/>
          <w14:textFill>
            <w14:solidFill>
              <w14:schemeClr w14:val="tx1"/>
            </w14:solidFill>
          </w14:textFill>
        </w:rPr>
      </w:pPr>
      <w:bookmarkStart w:id="342" w:name="_Toc30944"/>
    </w:p>
    <w:p w14:paraId="2A8F8302">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smallCaps w:val="0"/>
          <w:color w:val="000000" w:themeColor="text1"/>
          <w:highlight w:val="none"/>
          <w14:textFill>
            <w14:solidFill>
              <w14:schemeClr w14:val="tx1"/>
            </w14:solidFill>
          </w14:textFill>
        </w:rPr>
      </w:pPr>
      <w:bookmarkStart w:id="343" w:name="_Toc21420"/>
      <w:r>
        <w:rPr>
          <w:rFonts w:hint="eastAsia" w:ascii="Times New Roman" w:hAnsi="Times New Roman"/>
          <w:smallCaps w:val="0"/>
          <w:color w:val="000000" w:themeColor="text1"/>
          <w:highlight w:val="none"/>
          <w14:textFill>
            <w14:solidFill>
              <w14:schemeClr w14:val="tx1"/>
            </w14:solidFill>
          </w14:textFill>
        </w:rPr>
        <w:t>第十</w:t>
      </w:r>
      <w:r>
        <w:rPr>
          <w:rFonts w:hint="eastAsia" w:ascii="Times New Roman" w:hAnsi="Times New Roman"/>
          <w:smallCaps w:val="0"/>
          <w:color w:val="000000" w:themeColor="text1"/>
          <w:highlight w:val="none"/>
          <w:lang w:eastAsia="zh-CN"/>
          <w14:textFill>
            <w14:solidFill>
              <w14:schemeClr w14:val="tx1"/>
            </w14:solidFill>
          </w14:textFill>
        </w:rPr>
        <w:t>二</w:t>
      </w:r>
      <w:r>
        <w:rPr>
          <w:rFonts w:hint="eastAsia" w:ascii="Times New Roman" w:hAnsi="Times New Roman"/>
          <w:smallCaps w:val="0"/>
          <w:color w:val="000000" w:themeColor="text1"/>
          <w:highlight w:val="none"/>
          <w14:textFill>
            <w14:solidFill>
              <w14:schemeClr w14:val="tx1"/>
            </w14:solidFill>
          </w14:textFill>
        </w:rPr>
        <w:t>章 全面夯实基层治理基础，着力建设法治公主岭</w:t>
      </w:r>
      <w:bookmarkEnd w:id="340"/>
      <w:bookmarkEnd w:id="341"/>
      <w:bookmarkEnd w:id="342"/>
      <w:bookmarkEnd w:id="343"/>
    </w:p>
    <w:p w14:paraId="18E0310D">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p>
    <w:p w14:paraId="7059B3C3">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以建设法治公主岭为重要依托，统筹高质量发展和高水平安全，不断提升维护国家安全的能力，有效防范化解重大风险，夯实基层治理基础，筑牢安全发展屏障，构建共建共治共享的强市治理新格局。</w:t>
      </w:r>
    </w:p>
    <w:p w14:paraId="56BABDE9">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44" w:name="_Toc8368"/>
      <w:bookmarkStart w:id="345" w:name="_Toc15806"/>
      <w:bookmarkStart w:id="346" w:name="_Toc16429"/>
      <w:bookmarkStart w:id="347" w:name="_Toc8595"/>
      <w:bookmarkStart w:id="348" w:name="_Toc10175"/>
      <w:bookmarkStart w:id="349" w:name="_Toc13462"/>
      <w:r>
        <w:rPr>
          <w:rFonts w:hint="eastAsia" w:ascii="Times New Roman" w:hAnsi="Times New Roman"/>
          <w:smallCaps w:val="0"/>
          <w:color w:val="000000" w:themeColor="text1"/>
          <w:highlight w:val="none"/>
          <w14:textFill>
            <w14:solidFill>
              <w14:schemeClr w14:val="tx1"/>
            </w14:solidFill>
          </w14:textFill>
        </w:rPr>
        <w:t>第一节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维护国家安全</w:t>
      </w:r>
      <w:bookmarkEnd w:id="344"/>
      <w:r>
        <w:rPr>
          <w:rFonts w:hint="eastAsia" w:ascii="Times New Roman" w:hAnsi="Times New Roman"/>
          <w:smallCaps w:val="0"/>
          <w:color w:val="000000" w:themeColor="text1"/>
          <w:highlight w:val="none"/>
          <w14:textFill>
            <w14:solidFill>
              <w14:schemeClr w14:val="tx1"/>
            </w14:solidFill>
          </w14:textFill>
        </w:rPr>
        <w:t>大局</w:t>
      </w:r>
      <w:bookmarkEnd w:id="345"/>
      <w:bookmarkEnd w:id="346"/>
      <w:bookmarkEnd w:id="347"/>
      <w:bookmarkEnd w:id="348"/>
      <w:bookmarkEnd w:id="349"/>
    </w:p>
    <w:p w14:paraId="3C3290E1">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巩固国家安全防线。</w:t>
      </w:r>
      <w:r>
        <w:rPr>
          <w:rFonts w:hint="eastAsia" w:ascii="Times New Roman" w:hAnsi="Times New Roman" w:cs="仿宋"/>
          <w:smallCaps w:val="0"/>
          <w:color w:val="000000" w:themeColor="text1"/>
          <w:szCs w:val="32"/>
          <w:highlight w:val="none"/>
          <w14:textFill>
            <w14:solidFill>
              <w14:schemeClr w14:val="tx1"/>
            </w14:solidFill>
          </w14:textFill>
        </w:rPr>
        <w:t>完善重点领域国家安全工作协调机制和专项工作机制。持续推进国家安全风险监测预警体系建设，加强风险监测、评估、预警、响应环节管控，增强风险预警能力，完善预警信息报告机制，强化风险响应处置。严厉打击邪教组织，依法处置非法宗教活动。深化反恐怖斗争，守住不发生暴恐案事件底线。高度警觉群体集结活动，按照“宜散不宜聚”原则，及早防范化解。深化国家安全宣传教育，推动国家安全教育进机关、进校园、进社区，增强全民国家安全意识。持续健全国防动员体制机制，加强国防动员后备力量建设，构建基础队伍强大、基干力量精实、应战应急一体的现代化民兵力量体系。</w:t>
      </w:r>
    </w:p>
    <w:p w14:paraId="3502A883">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维护社会大局稳定。</w:t>
      </w:r>
      <w:r>
        <w:rPr>
          <w:rFonts w:hint="eastAsia" w:ascii="Times New Roman" w:hAnsi="Times New Roman" w:cs="仿宋"/>
          <w:smallCaps w:val="0"/>
          <w:color w:val="000000" w:themeColor="text1"/>
          <w:szCs w:val="32"/>
          <w:highlight w:val="none"/>
          <w14:textFill>
            <w14:solidFill>
              <w14:schemeClr w14:val="tx1"/>
            </w14:solidFill>
          </w14:textFill>
        </w:rPr>
        <w:t>严格落实维护社会稳定责任制，高度警惕、精准防范化解影响群众安全感的突出风险，坚决守住不发生重大群体性事件底线。健全督导检查机制，用好重大风险提示函和督办单制度，推动责任落实。健全重大决策社会稳定风险评估机制。完善重大案件事件调查复盘机制，坚持实事求是、依法依规、公平公正，快速准确查清事实、明晰责任、回应社会关切，依法稳妥处理。深化新时代“枫桥经验”，完善信访矛盾多元调处体系，推动“访调联动”“诉调对接”，畅通群众诉求表达渠道。聚焦群众深恶痛绝的电信网络诈骗、黄赌毒、盗抢骗、食药环等突出违法犯罪，加大宣传防范和精准打击力度。强化社会治安整体防控体系建设，科学部署警力，提高街面见警率、管事率和重点场所的智慧化、精细化管控效能。深化常态化扫黑除恶斗争，健全线索核查、行业整治长效机制，严防“村霸”等恶势力反弹。强化</w:t>
      </w:r>
      <w:r>
        <w:rPr>
          <w:rFonts w:hint="eastAsia" w:ascii="Times New Roman" w:hAnsi="Times New Roman" w:cs="仿宋"/>
          <w:smallCaps w:val="0"/>
          <w:color w:val="000000" w:themeColor="text1"/>
          <w:szCs w:val="32"/>
          <w:highlight w:val="none"/>
          <w:lang w:eastAsia="zh-CN"/>
          <w14:textFill>
            <w14:solidFill>
              <w14:schemeClr w14:val="tx1"/>
            </w14:solidFill>
          </w14:textFill>
        </w:rPr>
        <w:t>未成年人违法犯罪预防和治理</w:t>
      </w:r>
      <w:r>
        <w:rPr>
          <w:rFonts w:hint="eastAsia" w:ascii="Times New Roman" w:hAnsi="Times New Roman" w:cs="仿宋"/>
          <w:smallCaps w:val="0"/>
          <w:color w:val="000000" w:themeColor="text1"/>
          <w:szCs w:val="32"/>
          <w:highlight w:val="none"/>
          <w14:textFill>
            <w14:solidFill>
              <w14:schemeClr w14:val="tx1"/>
            </w14:solidFill>
          </w14:textFill>
        </w:rPr>
        <w:t>，依法开展专门矫治教育。扎实做好刑满释放人员安置帮教、严重精神障碍患者管理救助和涉毒人员服务管理等工作。</w:t>
      </w:r>
    </w:p>
    <w:p w14:paraId="4761B191">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维护国家网络安全。</w:t>
      </w:r>
      <w:r>
        <w:rPr>
          <w:rFonts w:hint="eastAsia" w:ascii="Times New Roman" w:hAnsi="Times New Roman" w:cs="仿宋"/>
          <w:smallCaps w:val="0"/>
          <w:color w:val="000000" w:themeColor="text1"/>
          <w:szCs w:val="32"/>
          <w:highlight w:val="none"/>
          <w14:textFill>
            <w14:solidFill>
              <w14:schemeClr w14:val="tx1"/>
            </w14:solidFill>
          </w14:textFill>
        </w:rPr>
        <w:t>加强网信应急指挥体系建设，完善网络敏感舆情双线联动快速处置及交办反馈闭环工作机制，着力构建技术互联、信息互通、治理互助的网络舆情联动工作格局，提升网络舆情发现力、研判力、处置力。加强关键信息基础设施防护，健全网络安全事件应急响应体系。强化网络空间治理，依法打击网络谣言、数据泄露等违法行为，营造清朗网络环境。</w:t>
      </w:r>
    </w:p>
    <w:p w14:paraId="7D05248B">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50" w:name="_Toc31641"/>
      <w:bookmarkStart w:id="351" w:name="_Toc31912"/>
      <w:bookmarkStart w:id="352" w:name="_Toc4762"/>
      <w:bookmarkStart w:id="353" w:name="_Toc16787"/>
      <w:bookmarkStart w:id="354" w:name="_Toc30694"/>
      <w:bookmarkStart w:id="355" w:name="_Toc651"/>
      <w:r>
        <w:rPr>
          <w:rFonts w:hint="eastAsia" w:ascii="Times New Roman" w:hAnsi="Times New Roman"/>
          <w:smallCaps w:val="0"/>
          <w:color w:val="000000" w:themeColor="text1"/>
          <w:highlight w:val="none"/>
          <w14:textFill>
            <w14:solidFill>
              <w14:schemeClr w14:val="tx1"/>
            </w14:solidFill>
          </w14:textFill>
        </w:rPr>
        <w:t>第二节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健全公共安全体系</w:t>
      </w:r>
      <w:bookmarkEnd w:id="350"/>
      <w:bookmarkEnd w:id="351"/>
      <w:bookmarkEnd w:id="352"/>
      <w:bookmarkEnd w:id="353"/>
      <w:bookmarkEnd w:id="354"/>
      <w:bookmarkEnd w:id="355"/>
    </w:p>
    <w:p w14:paraId="7A3AA4A9">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强化安全生产治理。</w:t>
      </w:r>
      <w:r>
        <w:rPr>
          <w:rFonts w:hint="eastAsia" w:ascii="Times New Roman" w:hAnsi="Times New Roman" w:cs="仿宋"/>
          <w:smallCaps w:val="0"/>
          <w:color w:val="000000" w:themeColor="text1"/>
          <w:szCs w:val="32"/>
          <w:highlight w:val="none"/>
          <w14:textFill>
            <w14:solidFill>
              <w14:schemeClr w14:val="tx1"/>
            </w14:solidFill>
          </w14:textFill>
        </w:rPr>
        <w:t>深化“三管三必须”责任落实，优化调整安全生产任务分工，实施网格化管理办法，压实四方责任。持续开展危险化学品、非煤矿山、建筑施工、交通运输、消防等重点行业领域的安全生产专项整治行动。建立安全生产信息化监管平台，实现对企业安全生产状况的实时监测、预警和分析。利用大数据、物联网等技术，对重点行业领域的安全风险进行精准识别和管控。强化全领域全链条安全监管，坚决遏制重特大事故发生。完善安全生产绩效考评机制，健全行业领域联合监督管理工作</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机制</w:t>
      </w:r>
      <w:r>
        <w:rPr>
          <w:rFonts w:hint="eastAsia" w:ascii="Times New Roman" w:hAnsi="Times New Roman" w:cs="仿宋"/>
          <w:smallCaps w:val="0"/>
          <w:color w:val="000000" w:themeColor="text1"/>
          <w:szCs w:val="32"/>
          <w:highlight w:val="none"/>
          <w14:textFill>
            <w14:solidFill>
              <w14:schemeClr w14:val="tx1"/>
            </w14:solidFill>
          </w14:textFill>
        </w:rPr>
        <w:t>。加强安全生产执法能力建设，加强执法人员培训，提升规范公正文明执法水平。强化全民安全生产宣传教育，加强安全生产常识科普宣传，定期组织开展警示教育活动。</w:t>
      </w:r>
    </w:p>
    <w:p w14:paraId="21CACE3B">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确保食品药品安全。</w:t>
      </w:r>
      <w:r>
        <w:rPr>
          <w:rFonts w:hint="eastAsia" w:ascii="Times New Roman" w:hAnsi="Times New Roman" w:cs="仿宋"/>
          <w:smallCaps w:val="0"/>
          <w:color w:val="000000" w:themeColor="text1"/>
          <w:szCs w:val="32"/>
          <w:highlight w:val="none"/>
          <w14:textFill>
            <w14:solidFill>
              <w14:schemeClr w14:val="tx1"/>
            </w14:solidFill>
          </w14:textFill>
        </w:rPr>
        <w:t xml:space="preserve">完善食品药品全流程监管机制，建立溯源体系，强化生产、流通、消费环节风险管控，加大违法违规行为惩戒力度。持续推进餐饮单位“明厨亮灶”改造工作，落实企业主体责任，确保人民群众舌尖上的安全。  </w:t>
      </w:r>
    </w:p>
    <w:p w14:paraId="59D71A5E">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防范经济金融风险。</w:t>
      </w:r>
      <w:r>
        <w:rPr>
          <w:rFonts w:hint="eastAsia" w:ascii="Times New Roman" w:hAnsi="Times New Roman" w:cs="仿宋"/>
          <w:smallCaps w:val="0"/>
          <w:color w:val="000000" w:themeColor="text1"/>
          <w:szCs w:val="32"/>
          <w:highlight w:val="none"/>
          <w14:textFill>
            <w14:solidFill>
              <w14:schemeClr w14:val="tx1"/>
            </w14:solidFill>
          </w14:textFill>
        </w:rPr>
        <w:t>加强经济运行监测预警，完善政府债务动态管控机制，稳妥化解隐性债务。强化金融风险联防联控，严厉打击非法集资、逃废债等行为，守住不发生系统性金融风险底线。健全政策预研预储机制，提升经济抗风险能力，统筹稳增长与防风险平衡。</w:t>
      </w:r>
    </w:p>
    <w:p w14:paraId="1B2CEA2C">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健全应急管理体系。</w:t>
      </w:r>
      <w:r>
        <w:rPr>
          <w:rFonts w:hint="eastAsia" w:ascii="Times New Roman" w:hAnsi="Times New Roman" w:cs="仿宋"/>
          <w:smallCaps w:val="0"/>
          <w:color w:val="000000" w:themeColor="text1"/>
          <w:szCs w:val="32"/>
          <w:highlight w:val="none"/>
          <w14:textFill>
            <w14:solidFill>
              <w14:schemeClr w14:val="tx1"/>
            </w14:solidFill>
          </w14:textFill>
        </w:rPr>
        <w:t>构建“主动防控”的应急管理体系。建立一支专业素质高、救援能力强、装备精良的综合性应急救援队伍。实现应急救援指挥信息化、智能化，提高应急响应速度和协同作战能力。加强应急物资储备，满足各类灾害事故应急救援需求。健全应急指挥体系运行机制，加强水旱、地震、气象、森林火灾等风险监测预警，强化救援力量建设，推进乡镇（街道）应急管理站（所）标准化。开展防灾减灾宣传教育，提升群众自救互救能力，完善优化“三项岗位人员”的培训考核管理，进一步强化提升特种作业从业人员素质。</w:t>
      </w:r>
      <w:bookmarkStart w:id="356" w:name="_Toc907"/>
      <w:bookmarkStart w:id="357" w:name="_Toc28417"/>
    </w:p>
    <w:p w14:paraId="0190B482">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58" w:name="_Toc1115"/>
      <w:bookmarkStart w:id="359" w:name="_Toc31334"/>
      <w:bookmarkStart w:id="360" w:name="_Toc24221"/>
      <w:bookmarkStart w:id="361" w:name="_Toc2542"/>
      <w:bookmarkStart w:id="362" w:name="_Toc16454"/>
      <w:r>
        <w:rPr>
          <w:rFonts w:hint="eastAsia" w:ascii="Times New Roman" w:hAnsi="Times New Roman"/>
          <w:smallCaps w:val="0"/>
          <w:color w:val="000000" w:themeColor="text1"/>
          <w:highlight w:val="none"/>
          <w14:textFill>
            <w14:solidFill>
              <w14:schemeClr w14:val="tx1"/>
            </w14:solidFill>
          </w14:textFill>
        </w:rPr>
        <w:t>第三节</w:t>
      </w:r>
      <w:r>
        <w:rPr>
          <w:rFonts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创新基层治理模式</w:t>
      </w:r>
      <w:bookmarkEnd w:id="356"/>
      <w:bookmarkEnd w:id="358"/>
      <w:bookmarkEnd w:id="359"/>
      <w:bookmarkEnd w:id="360"/>
      <w:bookmarkEnd w:id="361"/>
      <w:bookmarkEnd w:id="362"/>
    </w:p>
    <w:p w14:paraId="01DDBF50">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hint="eastAsia" w:ascii="Times New Roman" w:hAnsi="Times New Roman" w:eastAsia="仿宋" w:cs="仿宋"/>
          <w:smallCaps w:val="0"/>
          <w:color w:val="000000" w:themeColor="text1"/>
          <w:szCs w:val="32"/>
          <w:highlight w:val="none"/>
          <w:lang w:eastAsia="zh-CN"/>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建强党建引领体系。</w:t>
      </w:r>
      <w:r>
        <w:rPr>
          <w:rFonts w:hint="eastAsia" w:ascii="Times New Roman" w:hAnsi="Times New Roman" w:cs="仿宋"/>
          <w:smallCaps w:val="0"/>
          <w:color w:val="000000" w:themeColor="text1"/>
          <w:szCs w:val="32"/>
          <w:highlight w:val="none"/>
          <w14:textFill>
            <w14:solidFill>
              <w14:schemeClr w14:val="tx1"/>
            </w14:solidFill>
          </w14:textFill>
        </w:rPr>
        <w:t>建强党建引领基层治理体系。持续深化“乡镇（街道）党（工）委—村（社区）党组织—网格（小区）党支部—楼栋（屯组）党小组—党员中心户”五级组织架构，全面实现党的组织和工作全覆盖。优选党员骨干担任网格长，推动党建与基层治理深度融合</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p>
    <w:p w14:paraId="518EB835">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优化</w:t>
      </w: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基层</w:t>
      </w:r>
      <w:r>
        <w:rPr>
          <w:rFonts w:hint="eastAsia" w:ascii="Times New Roman" w:hAnsi="Times New Roman" w:cs="仿宋"/>
          <w:b/>
          <w:bCs/>
          <w:smallCaps w:val="0"/>
          <w:color w:val="000000" w:themeColor="text1"/>
          <w:szCs w:val="32"/>
          <w:highlight w:val="none"/>
          <w14:textFill>
            <w14:solidFill>
              <w14:schemeClr w14:val="tx1"/>
            </w14:solidFill>
          </w14:textFill>
        </w:rPr>
        <w:t>治理机制。</w:t>
      </w:r>
      <w:r>
        <w:rPr>
          <w:rFonts w:hint="eastAsia" w:ascii="Times New Roman" w:hAnsi="Times New Roman" w:cs="仿宋"/>
          <w:smallCaps w:val="0"/>
          <w:color w:val="000000" w:themeColor="text1"/>
          <w:szCs w:val="32"/>
          <w:highlight w:val="none"/>
          <w14:textFill>
            <w14:solidFill>
              <w14:schemeClr w14:val="tx1"/>
            </w14:solidFill>
          </w14:textFill>
        </w:rPr>
        <w:t xml:space="preserve">建强用好三级综治中心主阵地，推动“一站式”解纷平台向基层末梢延伸。深化三级综治中心实战化、规范化、智能化运行，聚焦群众急难愁盼，整合调解、信访、法律服务、心理疏导等资源力量，健全高效顺畅的联动响应机制，提升矛盾源头发现，就地吸附、前端化解能力，努力实现小事不出村（社区）、大事不出乡镇（街道）、矛盾不上交，切实增强人民群众的安全感、获得感和满意度。坚持和发展新时代“枫桥经验”，完善社区治理。加大社区工作者教育培训力度，健全社区工作者职业化体系，打造高素质基层服务队伍。推广“智慧治理”平台，运用大数据精准对接民生需求，提升服务精细化水平。  </w:t>
      </w:r>
    </w:p>
    <w:p w14:paraId="59367263">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14:textFill>
            <w14:solidFill>
              <w14:schemeClr w14:val="tx1"/>
            </w14:solidFill>
          </w14:textFill>
        </w:rPr>
        <w:t>激发多元共治活力。</w:t>
      </w:r>
      <w:r>
        <w:rPr>
          <w:rFonts w:hint="eastAsia" w:ascii="Times New Roman" w:hAnsi="Times New Roman" w:cs="仿宋"/>
          <w:smallCaps w:val="0"/>
          <w:color w:val="000000" w:themeColor="text1"/>
          <w:szCs w:val="32"/>
          <w:highlight w:val="none"/>
          <w14:textFill>
            <w14:solidFill>
              <w14:schemeClr w14:val="tx1"/>
            </w14:solidFill>
          </w14:textFill>
        </w:rPr>
        <w:t>完善“三社联动”机制，培育社会组织参与矛盾调处、志愿服务。健全居民议事协商制度，创新“小区议事厅”“村民说事”等载体，推动民事民议、民事民办。有效落实农村“四议两公开”，推行社区“四步议事工作法”，健全民情恳谈、听证论证、评议评价等对话机制，推进议事协商程序化。建立和完善由政府、工会、企业共同参与的协商协调机制，研究解决劳动关系领域和涉及职工权益的重大问题，加大劳动关系矛盾风险隐患排查化解力度。强化志愿服务体系建设，培育平安巡防、应急救援等特色志愿队伍，构建共建共治共享新格局。</w:t>
      </w:r>
    </w:p>
    <w:p w14:paraId="42A208E2">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63" w:name="_Toc32030"/>
      <w:bookmarkStart w:id="364" w:name="_Toc23799"/>
      <w:bookmarkStart w:id="365" w:name="_Toc9127"/>
      <w:bookmarkStart w:id="366" w:name="_Toc25191"/>
      <w:r>
        <w:rPr>
          <w:rFonts w:hint="eastAsia" w:ascii="Times New Roman" w:hAnsi="Times New Roman"/>
          <w:smallCaps w:val="0"/>
          <w:color w:val="000000" w:themeColor="text1"/>
          <w:highlight w:val="none"/>
          <w14:textFill>
            <w14:solidFill>
              <w14:schemeClr w14:val="tx1"/>
            </w14:solidFill>
          </w14:textFill>
        </w:rPr>
        <w:t>第四节 建设法治公主岭</w:t>
      </w:r>
      <w:bookmarkEnd w:id="363"/>
      <w:bookmarkEnd w:id="364"/>
      <w:bookmarkEnd w:id="365"/>
      <w:bookmarkEnd w:id="366"/>
    </w:p>
    <w:bookmarkEnd w:id="357"/>
    <w:p w14:paraId="21854BB8">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建设人民满意的法治政府。</w:t>
      </w:r>
      <w:r>
        <w:rPr>
          <w:rFonts w:hint="eastAsia" w:ascii="Times New Roman" w:hAnsi="Times New Roman" w:cs="仿宋"/>
          <w:smallCaps w:val="0"/>
          <w:color w:val="000000" w:themeColor="text1"/>
          <w:szCs w:val="32"/>
          <w:highlight w:val="none"/>
          <w14:textFill>
            <w14:solidFill>
              <w14:schemeClr w14:val="tx1"/>
            </w14:solidFill>
          </w14:textFill>
        </w:rPr>
        <w:t>坚持法定职责必须为、法无授权不可为，全面实现政府机构、职能、权限、程序、责任法定化、规范化、标准化。刚性落实行政执法公示、执法全过程记录、重大执法决定法制审核“三项制度”，完善并严格执行行政处罚等领域行政裁量权基准，坚决纠治违规执法、选择性执法、趋利性执法。健全重大行政决策程序制度，强化决策草案公众参与、专家论证、风险评估、合法性审查和集体讨论决定程序的刚性约束，提升决策科学化民主化法治化水平。深化乡镇（街道）综合行政执法改革，科学精准赋权，健全权责统一、运转高效的</w:t>
      </w:r>
      <w:r>
        <w:rPr>
          <w:rFonts w:hint="eastAsia" w:ascii="Times New Roman" w:hAnsi="Times New Roman" w:cs="仿宋"/>
          <w:smallCaps w:val="0"/>
          <w:color w:val="000000" w:themeColor="text1"/>
          <w:szCs w:val="32"/>
          <w:highlight w:val="none"/>
          <w:lang w:eastAsia="zh-CN"/>
          <w14:textFill>
            <w14:solidFill>
              <w14:schemeClr w14:val="tx1"/>
            </w14:solidFill>
          </w14:textFill>
        </w:rPr>
        <w:t>基层综合执法体制机制</w:t>
      </w:r>
      <w:r>
        <w:rPr>
          <w:rFonts w:hint="eastAsia" w:ascii="Times New Roman" w:hAnsi="Times New Roman" w:cs="仿宋"/>
          <w:smallCaps w:val="0"/>
          <w:color w:val="000000" w:themeColor="text1"/>
          <w:szCs w:val="32"/>
          <w:highlight w:val="none"/>
          <w14:textFill>
            <w14:solidFill>
              <w14:schemeClr w14:val="tx1"/>
            </w14:solidFill>
          </w14:textFill>
        </w:rPr>
        <w:t>，强化业务指导和执法监督，提升基层执法能力与规范化水平。构建全覆盖行政执法协调监督体系，完善内部层级监督和专门监督，强化社会监督和舆论监督。严格落实行政执法责任制和责任追究制度。健全行政复议体制机制，提升行政争议实质性化解效能。推进行政裁决工作，发挥其在化解特定领域民事纠纷中的高效便捷优势。</w:t>
      </w:r>
    </w:p>
    <w:p w14:paraId="30F1501D">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推进公正权威高效司法。</w:t>
      </w:r>
      <w:r>
        <w:rPr>
          <w:rFonts w:hint="eastAsia" w:ascii="Times New Roman" w:hAnsi="Times New Roman" w:cs="仿宋"/>
          <w:smallCaps w:val="0"/>
          <w:color w:val="000000" w:themeColor="text1"/>
          <w:szCs w:val="32"/>
          <w:highlight w:val="none"/>
          <w14:textFill>
            <w14:solidFill>
              <w14:schemeClr w14:val="tx1"/>
            </w14:solidFill>
          </w14:textFill>
        </w:rPr>
        <w:t>深化司法体制综合配套改革，全面准确落实司法责任制，健全权责明晰、监管有效、保障有力的司法权力运行制约监督机制。深入推进以审判为中心的诉讼制度改革，落实庭审实质化要求，完善精准适用认罪认罚从宽、轻微刑事案件快速办理等制度机制，优化司法资源配置，提升审判质效。健全监察权、侦查权、检察权、审判权、执行权相互配合、相互制约的体制机制，确保执法司法各环节全过程在有效监督下运行。完善府院联动机制常态化运行，深化诉源治理，加强信息共享、风险预警和协同化解，合力攻坚“执行难”问题，加大强制执行力度并深化信用联合惩戒机制应用。强化检察监督，聚焦食品药品安全、生态环境与资源保护、安全生产、个人信息保护等民生关切领域，做强公益诉讼检察，切实保障人民群众合法权益。加快智慧法院、智慧检务、智慧公安、智慧司法建设与应用，提升司法办案智能化水平和效率。</w:t>
      </w:r>
    </w:p>
    <w:p w14:paraId="7F5AFBEF">
      <w:pPr>
        <w:keepNext w:val="0"/>
        <w:keepLines w:val="0"/>
        <w:pageBreakBefore w:val="0"/>
        <w:widowControl w:val="0"/>
        <w:kinsoku/>
        <w:wordWrap/>
        <w:overflowPunct/>
        <w:topLinePunct w:val="0"/>
        <w:autoSpaceDE/>
        <w:autoSpaceDN/>
        <w:bidi w:val="0"/>
        <w:adjustRightInd/>
        <w:snapToGrid/>
        <w:spacing w:line="576" w:lineRule="exact"/>
        <w:ind w:left="0" w:firstLine="643"/>
        <w:textAlignment w:val="auto"/>
        <w:rPr>
          <w:rFonts w:hint="eastAsia"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b/>
          <w:bCs/>
          <w:smallCaps w:val="0"/>
          <w:color w:val="000000" w:themeColor="text1"/>
          <w:szCs w:val="32"/>
          <w:highlight w:val="none"/>
          <w:lang w:val="en-US" w:eastAsia="zh-CN"/>
          <w14:textFill>
            <w14:solidFill>
              <w14:schemeClr w14:val="tx1"/>
            </w14:solidFill>
          </w14:textFill>
        </w:rPr>
        <w:t>夯实法治社会根基。</w:t>
      </w:r>
      <w:r>
        <w:rPr>
          <w:rFonts w:hint="eastAsia" w:ascii="Times New Roman" w:hAnsi="Times New Roman" w:cs="仿宋"/>
          <w:smallCaps w:val="0"/>
          <w:color w:val="000000" w:themeColor="text1"/>
          <w:szCs w:val="32"/>
          <w:highlight w:val="none"/>
          <w14:textFill>
            <w14:solidFill>
              <w14:schemeClr w14:val="tx1"/>
            </w14:solidFill>
          </w14:textFill>
        </w:rPr>
        <w:t>深入实施公民法治素养提升行动，健全普法宣传教育长效机制，严格落实“谁执法谁普法”普法责任制，推动在执法司法办案、管理服务各环节开展精准化、场景化释法说理。推进领导干部带头尊法学法守法用法，加强公职人员法治教育，营造全社会办事依法、遇事找法、解决问题用法、化解矛盾靠法的浓厚氛围。优化升级普惠均等、便捷高效、智能精准的现代公共法律服务体系</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推动优质法律服务资源向基层下沉，实现村（居）法律顾问有效覆盖和作用发挥。完善法律援助制度，扩大援助范围，提高援助质量，保障困难群众和特定群体合法权益</w:t>
      </w:r>
      <w:r>
        <w:rPr>
          <w:rFonts w:hint="eastAsia" w:ascii="Times New Roman" w:hAnsi="Times New Roman" w:cs="仿宋"/>
          <w:smallCaps w:val="0"/>
          <w:color w:val="000000" w:themeColor="text1"/>
          <w:szCs w:val="32"/>
          <w:highlight w:val="none"/>
          <w:lang w:eastAsia="zh-CN"/>
          <w14:textFill>
            <w14:solidFill>
              <w14:schemeClr w14:val="tx1"/>
            </w14:solidFill>
          </w14:textFill>
        </w:rPr>
        <w:t>。</w:t>
      </w:r>
      <w:r>
        <w:rPr>
          <w:rFonts w:hint="eastAsia" w:ascii="Times New Roman" w:hAnsi="Times New Roman" w:cs="仿宋"/>
          <w:smallCaps w:val="0"/>
          <w:color w:val="000000" w:themeColor="text1"/>
          <w:szCs w:val="32"/>
          <w:highlight w:val="none"/>
          <w14:textFill>
            <w14:solidFill>
              <w14:schemeClr w14:val="tx1"/>
            </w14:solidFill>
          </w14:textFill>
        </w:rPr>
        <w:t>完善调解、仲裁、行政裁决、行政复议、诉讼等有机衔接、协调联动的纠纷解决体系，依法高效化解各类矛盾纠纷。</w:t>
      </w:r>
    </w:p>
    <w:p w14:paraId="11A01296">
      <w:pPr>
        <w:pStyle w:val="2"/>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smallCaps w:val="0"/>
          <w:color w:val="000000" w:themeColor="text1"/>
          <w:highlight w:val="none"/>
          <w14:textFill>
            <w14:solidFill>
              <w14:schemeClr w14:val="tx1"/>
            </w14:solidFill>
          </w14:textFill>
        </w:rPr>
      </w:pPr>
      <w:bookmarkStart w:id="367" w:name="_Toc16080"/>
      <w:bookmarkStart w:id="368" w:name="_Toc4644"/>
      <w:bookmarkStart w:id="369" w:name="_Toc5233"/>
      <w:bookmarkStart w:id="370" w:name="_Toc26635"/>
      <w:r>
        <w:rPr>
          <w:rFonts w:hint="eastAsia" w:ascii="Times New Roman" w:hAnsi="Times New Roman"/>
          <w:smallCaps w:val="0"/>
          <w:color w:val="000000" w:themeColor="text1"/>
          <w:highlight w:val="none"/>
          <w14:textFill>
            <w14:solidFill>
              <w14:schemeClr w14:val="tx1"/>
            </w14:solidFill>
          </w14:textFill>
        </w:rPr>
        <w:t>第十</w:t>
      </w:r>
      <w:r>
        <w:rPr>
          <w:rFonts w:hint="eastAsia" w:ascii="Times New Roman" w:hAnsi="Times New Roman"/>
          <w:smallCaps w:val="0"/>
          <w:color w:val="000000" w:themeColor="text1"/>
          <w:highlight w:val="none"/>
          <w:lang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章 科学保障规划实施，聚力实现“十五五”发展目标</w:t>
      </w:r>
      <w:bookmarkEnd w:id="367"/>
      <w:bookmarkEnd w:id="368"/>
      <w:bookmarkEnd w:id="369"/>
      <w:bookmarkEnd w:id="370"/>
    </w:p>
    <w:p w14:paraId="392AE62C">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bookmarkStart w:id="371" w:name="_Toc18580"/>
    </w:p>
    <w:p w14:paraId="1128FA18">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加强党的全面领导，实施经济高质量发展要素保障工程，健全规划实施保障机制，强化统筹协调和制度保障，形成全社会推动规划实施的强大合力。</w:t>
      </w:r>
    </w:p>
    <w:p w14:paraId="5280D311">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72" w:name="_Toc3832"/>
      <w:bookmarkStart w:id="373" w:name="_Toc6047"/>
      <w:bookmarkStart w:id="374" w:name="_Toc18071"/>
      <w:bookmarkStart w:id="375" w:name="_Toc25027"/>
      <w:bookmarkStart w:id="376" w:name="_Toc1038"/>
      <w:r>
        <w:rPr>
          <w:rFonts w:hint="eastAsia" w:ascii="Times New Roman" w:hAnsi="Times New Roman"/>
          <w:smallCaps w:val="0"/>
          <w:color w:val="000000" w:themeColor="text1"/>
          <w:highlight w:val="none"/>
          <w14:textFill>
            <w14:solidFill>
              <w14:schemeClr w14:val="tx1"/>
            </w14:solidFill>
          </w14:textFill>
        </w:rPr>
        <w:t>第一节 加强党的全面领导</w:t>
      </w:r>
      <w:bookmarkEnd w:id="371"/>
      <w:bookmarkEnd w:id="372"/>
      <w:bookmarkEnd w:id="373"/>
      <w:bookmarkEnd w:id="374"/>
      <w:bookmarkEnd w:id="375"/>
      <w:bookmarkEnd w:id="376"/>
    </w:p>
    <w:p w14:paraId="754167D8">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深入学习贯彻习近平新时代中国特色社会主义思想，增强“四个意识”、坚定“四个自信”、做到“两个维护”，</w:t>
      </w:r>
      <w:r>
        <w:rPr>
          <w:rFonts w:hint="eastAsia" w:ascii="Times New Roman" w:hAnsi="Times New Roman" w:cs="仿宋"/>
          <w:smallCaps w:val="0"/>
          <w:color w:val="000000" w:themeColor="text1"/>
          <w:szCs w:val="32"/>
          <w:highlight w:val="none"/>
          <w:lang w:eastAsia="zh-CN"/>
          <w14:textFill>
            <w14:solidFill>
              <w14:schemeClr w14:val="tx1"/>
            </w14:solidFill>
          </w14:textFill>
        </w:rPr>
        <w:t>不断提高政治判断力、政治领悟力、政治执行力</w:t>
      </w:r>
      <w:r>
        <w:rPr>
          <w:rFonts w:hint="eastAsia" w:ascii="Times New Roman" w:hAnsi="Times New Roman" w:cs="仿宋"/>
          <w:smallCaps w:val="0"/>
          <w:color w:val="000000" w:themeColor="text1"/>
          <w:szCs w:val="32"/>
          <w:highlight w:val="none"/>
          <w14:textFill>
            <w14:solidFill>
              <w14:schemeClr w14:val="tx1"/>
            </w14:solidFill>
          </w14:textFill>
        </w:rPr>
        <w:t>。充分发挥全面从严治党引领保障作用，健全上下贯通、执行有力的组织体系，提高各级领导班子和干部适应新时代要求抓改革、促发展、保稳定的政治能力和专业素养。广泛动员全社会力量参与规划实施，推动规划目标、改革举措和重大工程项目落地见效。</w:t>
      </w:r>
    </w:p>
    <w:p w14:paraId="530BB4B6">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77" w:name="_Toc16662"/>
      <w:bookmarkStart w:id="378" w:name="_Toc4340"/>
      <w:bookmarkStart w:id="379" w:name="_Toc9551"/>
      <w:bookmarkStart w:id="380" w:name="_Toc17817"/>
      <w:r>
        <w:rPr>
          <w:rFonts w:hint="eastAsia" w:ascii="Times New Roman" w:hAnsi="Times New Roman"/>
          <w:smallCaps w:val="0"/>
          <w:color w:val="000000" w:themeColor="text1"/>
          <w:highlight w:val="none"/>
          <w14:textFill>
            <w14:solidFill>
              <w14:schemeClr w14:val="tx1"/>
            </w14:solidFill>
          </w14:textFill>
        </w:rPr>
        <w:t>第二节 发动社会各界支持</w:t>
      </w:r>
      <w:bookmarkEnd w:id="377"/>
      <w:bookmarkEnd w:id="378"/>
      <w:bookmarkEnd w:id="379"/>
      <w:bookmarkEnd w:id="380"/>
    </w:p>
    <w:p w14:paraId="74408E29">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bookmarkStart w:id="381" w:name="_Toc7841"/>
      <w:bookmarkStart w:id="382" w:name="_Toc10104"/>
      <w:r>
        <w:rPr>
          <w:rFonts w:hint="eastAsia" w:ascii="Times New Roman" w:hAnsi="Times New Roman" w:cs="仿宋"/>
          <w:smallCaps w:val="0"/>
          <w:color w:val="000000" w:themeColor="text1"/>
          <w:szCs w:val="32"/>
          <w:highlight w:val="none"/>
          <w14:textFill>
            <w14:solidFill>
              <w14:schemeClr w14:val="tx1"/>
            </w14:solidFill>
          </w14:textFill>
        </w:rPr>
        <w:t>充分调动社会各界参与规划实施的积极性，注重发挥工会、共青团、妇联等群团组织作用，支持民主党派、工商联和无党派人士建言献策，最大程度凝聚共识、汇聚合力。构建适应高质量发展的内生激励机制，健全以激励为导向的绩效评价和尽职免责机制，激发广大干部特别是基层干部的创造力，调动人民群众参与规划实施的主动性和积极性。</w:t>
      </w:r>
    </w:p>
    <w:p w14:paraId="0700FCC7">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83" w:name="_Toc20258"/>
      <w:bookmarkStart w:id="384" w:name="_Toc29666"/>
      <w:bookmarkStart w:id="385" w:name="_Toc26284"/>
      <w:bookmarkStart w:id="386" w:name="_Toc12042"/>
      <w:r>
        <w:rPr>
          <w:rFonts w:hint="eastAsia" w:ascii="Times New Roman" w:hAnsi="Times New Roman"/>
          <w:smallCaps w:val="0"/>
          <w:color w:val="000000" w:themeColor="text1"/>
          <w:highlight w:val="none"/>
          <w14:textFill>
            <w14:solidFill>
              <w14:schemeClr w14:val="tx1"/>
            </w14:solidFill>
          </w14:textFill>
        </w:rPr>
        <w:t>第三节 健全统一规划体系</w:t>
      </w:r>
      <w:bookmarkEnd w:id="381"/>
      <w:bookmarkEnd w:id="382"/>
      <w:bookmarkEnd w:id="383"/>
      <w:bookmarkEnd w:id="384"/>
      <w:bookmarkEnd w:id="385"/>
      <w:bookmarkEnd w:id="386"/>
    </w:p>
    <w:p w14:paraId="01812097">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构建系统完备的规划体系，强化发展规划的战略导向作用，突出空间规划的基础支撑，优化专项规划、区域规划的衔接协同。推动各类规划在发展目标、方向布局、重大政策、工程项目、风险防控等方面与发展规划协调一致，形成规划合力。完善规划衔接机制，推行目录清单、编制备案、衔接协调等管理制度，将各类规划纳入统一管理体系，确保规划目标协调、实施同步。</w:t>
      </w:r>
    </w:p>
    <w:p w14:paraId="2B6AA043">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87" w:name="_Toc27625"/>
      <w:bookmarkStart w:id="388" w:name="_Toc6073"/>
      <w:bookmarkStart w:id="389" w:name="_Toc4158"/>
      <w:bookmarkStart w:id="390" w:name="_Toc21314"/>
      <w:bookmarkStart w:id="391" w:name="_Toc4583"/>
      <w:bookmarkStart w:id="392" w:name="_Toc7933"/>
      <w:r>
        <w:rPr>
          <w:rFonts w:hint="eastAsia" w:ascii="Times New Roman" w:hAnsi="Times New Roman"/>
          <w:smallCaps w:val="0"/>
          <w:color w:val="000000" w:themeColor="text1"/>
          <w:highlight w:val="none"/>
          <w14:textFill>
            <w14:solidFill>
              <w14:schemeClr w14:val="tx1"/>
            </w14:solidFill>
          </w14:textFill>
        </w:rPr>
        <w:t>第四节 完善规划实施机制</w:t>
      </w:r>
      <w:bookmarkEnd w:id="387"/>
      <w:bookmarkEnd w:id="388"/>
      <w:bookmarkEnd w:id="389"/>
      <w:bookmarkEnd w:id="390"/>
      <w:bookmarkEnd w:id="391"/>
      <w:bookmarkEnd w:id="392"/>
    </w:p>
    <w:p w14:paraId="09DC6C63">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Times New Roman" w:hAnsi="Times New Roman" w:cs="仿宋"/>
          <w:smallCaps w:val="0"/>
          <w:color w:val="000000" w:themeColor="text1"/>
          <w:szCs w:val="32"/>
          <w:highlight w:val="none"/>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健全规划“编制—实施—评估—调整”动态管理机制，加强规划实施全过程监测评估。将规划确定的主要目标、重点任务、重大项目分解纳入年度工作体系和责任清单，推动规划有序落实。坚持统筹发展和安全，把防范化解规划实施风险摆在突出位置，稳中求进推动规划高质量实施。</w:t>
      </w:r>
    </w:p>
    <w:p w14:paraId="00103DAE">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93" w:name="_Toc772"/>
      <w:bookmarkStart w:id="394" w:name="_Toc25047"/>
      <w:bookmarkStart w:id="395" w:name="_Toc9249"/>
      <w:bookmarkStart w:id="396" w:name="_Toc24534"/>
      <w:bookmarkStart w:id="397" w:name="_Toc20031"/>
      <w:bookmarkStart w:id="398" w:name="_Toc12679"/>
      <w:r>
        <w:rPr>
          <w:rFonts w:hint="eastAsia" w:ascii="Times New Roman" w:hAnsi="Times New Roman"/>
          <w:smallCaps w:val="0"/>
          <w:color w:val="000000" w:themeColor="text1"/>
          <w:highlight w:val="none"/>
          <w14:textFill>
            <w14:solidFill>
              <w14:schemeClr w14:val="tx1"/>
            </w14:solidFill>
          </w14:textFill>
        </w:rPr>
        <w:t>第五节 强化</w:t>
      </w:r>
      <w:r>
        <w:rPr>
          <w:rFonts w:hint="eastAsia" w:ascii="Times New Roman" w:hAnsi="Times New Roman"/>
          <w:smallCaps w:val="0"/>
          <w:color w:val="000000" w:themeColor="text1"/>
          <w:highlight w:val="none"/>
          <w:lang w:val="en-US" w:eastAsia="zh-CN"/>
          <w14:textFill>
            <w14:solidFill>
              <w14:schemeClr w14:val="tx1"/>
            </w14:solidFill>
          </w14:textFill>
        </w:rPr>
        <w:t>规划</w:t>
      </w:r>
      <w:r>
        <w:rPr>
          <w:rFonts w:hint="eastAsia" w:ascii="Times New Roman" w:hAnsi="Times New Roman"/>
          <w:smallCaps w:val="0"/>
          <w:color w:val="000000" w:themeColor="text1"/>
          <w:highlight w:val="none"/>
          <w14:textFill>
            <w14:solidFill>
              <w14:schemeClr w14:val="tx1"/>
            </w14:solidFill>
          </w14:textFill>
        </w:rPr>
        <w:t>要素保障</w:t>
      </w:r>
      <w:bookmarkEnd w:id="393"/>
      <w:bookmarkEnd w:id="394"/>
      <w:bookmarkEnd w:id="395"/>
      <w:bookmarkEnd w:id="396"/>
      <w:bookmarkEnd w:id="397"/>
      <w:bookmarkEnd w:id="398"/>
    </w:p>
    <w:p w14:paraId="76002112">
      <w:pPr>
        <w:keepNext w:val="0"/>
        <w:keepLines w:val="0"/>
        <w:widowControl/>
        <w:suppressLineNumbers w:val="0"/>
        <w:jc w:val="left"/>
        <w:rPr>
          <w:rFonts w:hint="eastAsia" w:ascii="Times New Roman" w:hAnsi="Times New Roman" w:cs="仿宋"/>
          <w:smallCaps w:val="0"/>
          <w:color w:val="000000" w:themeColor="text1"/>
          <w:szCs w:val="32"/>
          <w:highlight w:val="none"/>
          <w:lang w:val="en-US" w:eastAsia="zh-CN"/>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聚焦项目建设、企业发展中的“人、财、物、改革”等关键要素，提升项目落</w:t>
      </w:r>
      <w:r>
        <w:rPr>
          <w:rFonts w:hint="eastAsia" w:ascii="Times New Roman" w:hAnsi="Times New Roman" w:cs="仿宋"/>
          <w:smallCaps w:val="0"/>
          <w:color w:val="000000" w:themeColor="text1"/>
          <w:szCs w:val="32"/>
          <w:highlight w:val="none"/>
          <w:lang w:val="en-US" w:eastAsia="zh-CN"/>
          <w14:textFill>
            <w14:solidFill>
              <w14:schemeClr w14:val="tx1"/>
            </w14:solidFill>
          </w14:textFill>
        </w:rPr>
        <w:t>地和发展服务保障能力。积极争取国家和省级土地政策支持，保障合理建设用地需求。强化“三资”统筹，财政资金优先保障规划确定的重大战略、重大任务和重大工程项目。加强各项政策与发展规划的衔接配合，打好政策“组合拳”。</w:t>
      </w:r>
    </w:p>
    <w:p w14:paraId="1D7EF8E0">
      <w:pPr>
        <w:pStyle w:val="3"/>
        <w:keepNext w:val="0"/>
        <w:keepLines w:val="0"/>
        <w:pageBreakBefore w:val="0"/>
        <w:widowControl w:val="0"/>
        <w:kinsoku/>
        <w:wordWrap/>
        <w:overflowPunct/>
        <w:topLinePunct w:val="0"/>
        <w:autoSpaceDE/>
        <w:autoSpaceDN/>
        <w:bidi w:val="0"/>
        <w:adjustRightInd/>
        <w:snapToGrid/>
        <w:spacing w:line="576" w:lineRule="exact"/>
        <w:ind w:left="0"/>
        <w:textAlignment w:val="auto"/>
        <w:outlineLvl w:val="0"/>
        <w:rPr>
          <w:rFonts w:ascii="Times New Roman" w:hAnsi="Times New Roman"/>
          <w:smallCaps w:val="0"/>
          <w:color w:val="000000" w:themeColor="text1"/>
          <w:highlight w:val="none"/>
          <w14:textFill>
            <w14:solidFill>
              <w14:schemeClr w14:val="tx1"/>
            </w14:solidFill>
          </w14:textFill>
        </w:rPr>
      </w:pPr>
      <w:bookmarkStart w:id="399" w:name="_Toc27834"/>
      <w:bookmarkStart w:id="400" w:name="_Toc27262"/>
      <w:bookmarkStart w:id="401" w:name="_Toc14079"/>
      <w:bookmarkStart w:id="402" w:name="_Toc28262"/>
      <w:bookmarkStart w:id="403" w:name="_Toc18527"/>
      <w:bookmarkStart w:id="404" w:name="_Toc10891"/>
      <w:r>
        <w:rPr>
          <w:rFonts w:hint="eastAsia" w:ascii="Times New Roman" w:hAnsi="Times New Roman"/>
          <w:smallCaps w:val="0"/>
          <w:color w:val="000000" w:themeColor="text1"/>
          <w:highlight w:val="none"/>
          <w14:textFill>
            <w14:solidFill>
              <w14:schemeClr w14:val="tx1"/>
            </w14:solidFill>
          </w14:textFill>
        </w:rPr>
        <w:t>第六节 加强规划监测评估</w:t>
      </w:r>
      <w:bookmarkEnd w:id="399"/>
      <w:bookmarkEnd w:id="400"/>
      <w:bookmarkEnd w:id="401"/>
      <w:bookmarkEnd w:id="402"/>
      <w:bookmarkEnd w:id="403"/>
      <w:bookmarkEnd w:id="404"/>
    </w:p>
    <w:p w14:paraId="4A0AED8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cs="仿宋"/>
          <w:smallCaps w:val="0"/>
          <w:color w:val="000000" w:themeColor="text1"/>
          <w:szCs w:val="32"/>
          <w:highlight w:val="none"/>
          <w14:textFill>
            <w14:solidFill>
              <w14:schemeClr w14:val="tx1"/>
            </w14:solidFill>
          </w14:textFill>
        </w:rPr>
        <w:t>开展规划实施年度评估、中期评估和总结评估，创新评估方式，引入第三方专业机构，提升评估的客观性和科学性。重点评估规划进展、分析存在问题，提出改进实施的对策建议。完善规划动态调整机制，对实施中出现的问题及时开展专题研究，按规定程序对规划进行科学、规范的修订完善。</w:t>
      </w:r>
    </w:p>
    <w:sectPr>
      <w:footerReference r:id="rId9" w:type="default"/>
      <w:pgSz w:w="11906" w:h="16838"/>
      <w:pgMar w:top="1984" w:right="1474" w:bottom="2041"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181B5">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C306A">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6972">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B2FB7">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1B92D8">
                          <w:pPr>
                            <w:pStyle w:val="13"/>
                            <w:spacing w:line="240" w:lineRule="auto"/>
                            <w:ind w:firstLine="0" w:firstLineChars="0"/>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91</w:t>
                          </w:r>
                          <w:r>
                            <w:rPr>
                              <w:rFonts w:hint="eastAsia" w:ascii="宋体" w:hAnsi="宋体" w:eastAsia="宋体"/>
                              <w:sz w:val="28"/>
                              <w:szCs w:val="28"/>
                            </w:rPr>
                            <w:fldChar w:fldCharType="end"/>
                          </w:r>
                          <w:r>
                            <w:rPr>
                              <w:rFonts w:hint="eastAsia" w:ascii="宋体" w:hAnsi="宋体" w:eastAsia="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NJWO7QAAAA&#10;BQEAAA8AAAAAAAAAAQAgAAAAIgAAAGRycy9kb3ducmV2LnhtbFBLAQIUABQAAAAIAIdO4kCRgHo6&#10;7AEAANUDAAAOAAAAAAAAAAEAIAAAAB8BAABkcnMvZTJvRG9jLnhtbFBLBQYAAAAABgAGAFkBAAB9&#10;BQAAAAA=&#10;">
              <v:fill on="f" focussize="0,0"/>
              <v:stroke on="f" weight="0.5pt"/>
              <v:imagedata o:title=""/>
              <o:lock v:ext="edit" aspectratio="f"/>
              <v:textbox inset="0mm,0mm,0mm,0mm" style="mso-fit-shape-to-text:t;">
                <w:txbxContent>
                  <w:p w14:paraId="531B92D8">
                    <w:pPr>
                      <w:pStyle w:val="13"/>
                      <w:spacing w:line="240" w:lineRule="auto"/>
                      <w:ind w:firstLine="0" w:firstLineChars="0"/>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91</w:t>
                    </w:r>
                    <w:r>
                      <w:rPr>
                        <w:rFonts w:hint="eastAsia"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2F985">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pStyle w:val="10"/>
      <w:lvlText w:val="%1.%2.%3"/>
      <w:lvlJc w:val="left"/>
      <w:pPr>
        <w:ind w:left="720" w:hanging="720"/>
      </w:pPr>
      <w:rPr>
        <w:rFonts w:hint="eastAsia"/>
      </w:rPr>
    </w:lvl>
    <w:lvl w:ilvl="3" w:tentative="0">
      <w:start w:val="1"/>
      <w:numFmt w:val="decimal"/>
      <w:lvlText w:val="%1.%2.%3.%4"/>
      <w:lvlJc w:val="left"/>
      <w:pPr>
        <w:ind w:left="4692"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BEAB96"/>
    <w:rsid w:val="003659C8"/>
    <w:rsid w:val="005F7DDF"/>
    <w:rsid w:val="00701EC9"/>
    <w:rsid w:val="00745DD3"/>
    <w:rsid w:val="0089414F"/>
    <w:rsid w:val="00905557"/>
    <w:rsid w:val="00A051BE"/>
    <w:rsid w:val="00AE3789"/>
    <w:rsid w:val="00BF325A"/>
    <w:rsid w:val="00E6284A"/>
    <w:rsid w:val="00F95102"/>
    <w:rsid w:val="00FF274D"/>
    <w:rsid w:val="0196601E"/>
    <w:rsid w:val="02493090"/>
    <w:rsid w:val="037C1244"/>
    <w:rsid w:val="039337E6"/>
    <w:rsid w:val="03957F6E"/>
    <w:rsid w:val="039B61EC"/>
    <w:rsid w:val="040E27E3"/>
    <w:rsid w:val="0414147C"/>
    <w:rsid w:val="045D4134"/>
    <w:rsid w:val="05017C52"/>
    <w:rsid w:val="061D6D0E"/>
    <w:rsid w:val="066A4655"/>
    <w:rsid w:val="071C2D73"/>
    <w:rsid w:val="073D0CEA"/>
    <w:rsid w:val="0797664C"/>
    <w:rsid w:val="07AD8FD8"/>
    <w:rsid w:val="07C71F52"/>
    <w:rsid w:val="08404F36"/>
    <w:rsid w:val="08E65373"/>
    <w:rsid w:val="093323A4"/>
    <w:rsid w:val="0A362FD0"/>
    <w:rsid w:val="0A6C1E73"/>
    <w:rsid w:val="0B297F03"/>
    <w:rsid w:val="0B777159"/>
    <w:rsid w:val="0BF90D1E"/>
    <w:rsid w:val="0C4843B9"/>
    <w:rsid w:val="0CA27F6D"/>
    <w:rsid w:val="0CE40585"/>
    <w:rsid w:val="0DE92BE9"/>
    <w:rsid w:val="0E26697C"/>
    <w:rsid w:val="0EB2020F"/>
    <w:rsid w:val="0EBD72D2"/>
    <w:rsid w:val="0ECC12D1"/>
    <w:rsid w:val="0EE26D46"/>
    <w:rsid w:val="0EF12AE6"/>
    <w:rsid w:val="0FBF4992"/>
    <w:rsid w:val="0FEEAD3F"/>
    <w:rsid w:val="102F7D69"/>
    <w:rsid w:val="11360C84"/>
    <w:rsid w:val="1188284E"/>
    <w:rsid w:val="11CE5052"/>
    <w:rsid w:val="12FCCE92"/>
    <w:rsid w:val="147D2371"/>
    <w:rsid w:val="151A11AA"/>
    <w:rsid w:val="15A38D64"/>
    <w:rsid w:val="16755186"/>
    <w:rsid w:val="1735378C"/>
    <w:rsid w:val="175005C5"/>
    <w:rsid w:val="17887D5F"/>
    <w:rsid w:val="18DBD4C1"/>
    <w:rsid w:val="18DF7E53"/>
    <w:rsid w:val="1A2E4BEE"/>
    <w:rsid w:val="1AAB26E2"/>
    <w:rsid w:val="1B146C3F"/>
    <w:rsid w:val="1B4D2179"/>
    <w:rsid w:val="1B56548F"/>
    <w:rsid w:val="1C454471"/>
    <w:rsid w:val="1C750CD9"/>
    <w:rsid w:val="1C9A0C60"/>
    <w:rsid w:val="1D4B5AB7"/>
    <w:rsid w:val="1EAB0F03"/>
    <w:rsid w:val="1EEA88D4"/>
    <w:rsid w:val="1F24FA23"/>
    <w:rsid w:val="1FBC7140"/>
    <w:rsid w:val="200F54C2"/>
    <w:rsid w:val="209239FD"/>
    <w:rsid w:val="21300B06"/>
    <w:rsid w:val="215313DE"/>
    <w:rsid w:val="21BB5933"/>
    <w:rsid w:val="225912DA"/>
    <w:rsid w:val="22BB49AF"/>
    <w:rsid w:val="23207520"/>
    <w:rsid w:val="23325FCD"/>
    <w:rsid w:val="2333357A"/>
    <w:rsid w:val="23696C97"/>
    <w:rsid w:val="23AB5501"/>
    <w:rsid w:val="23FC3FAF"/>
    <w:rsid w:val="243836C8"/>
    <w:rsid w:val="24596D0B"/>
    <w:rsid w:val="24BB1774"/>
    <w:rsid w:val="252E63EA"/>
    <w:rsid w:val="2585074E"/>
    <w:rsid w:val="26451C3D"/>
    <w:rsid w:val="270800DC"/>
    <w:rsid w:val="270C62B7"/>
    <w:rsid w:val="27380A39"/>
    <w:rsid w:val="27524813"/>
    <w:rsid w:val="27F7812C"/>
    <w:rsid w:val="281D62A2"/>
    <w:rsid w:val="286375BB"/>
    <w:rsid w:val="28CEEFAC"/>
    <w:rsid w:val="28FD5E5B"/>
    <w:rsid w:val="29714AF7"/>
    <w:rsid w:val="2A094D30"/>
    <w:rsid w:val="2A495A74"/>
    <w:rsid w:val="2B22254D"/>
    <w:rsid w:val="2BEC66B7"/>
    <w:rsid w:val="2C12605B"/>
    <w:rsid w:val="2C732934"/>
    <w:rsid w:val="2C9B4CD7"/>
    <w:rsid w:val="2CA70830"/>
    <w:rsid w:val="2D616A3D"/>
    <w:rsid w:val="2E4F4FC2"/>
    <w:rsid w:val="2EBF85E8"/>
    <w:rsid w:val="2ED7496F"/>
    <w:rsid w:val="2F662C24"/>
    <w:rsid w:val="2FA33530"/>
    <w:rsid w:val="2FB7D91F"/>
    <w:rsid w:val="2FBEEF7D"/>
    <w:rsid w:val="2FE204FD"/>
    <w:rsid w:val="307C62E9"/>
    <w:rsid w:val="31126BC0"/>
    <w:rsid w:val="31160AC7"/>
    <w:rsid w:val="3163566D"/>
    <w:rsid w:val="329F241C"/>
    <w:rsid w:val="32B31CDC"/>
    <w:rsid w:val="32C103D2"/>
    <w:rsid w:val="32C24615"/>
    <w:rsid w:val="331875CC"/>
    <w:rsid w:val="33E7B8C2"/>
    <w:rsid w:val="34264730"/>
    <w:rsid w:val="345310F1"/>
    <w:rsid w:val="34767465"/>
    <w:rsid w:val="34963664"/>
    <w:rsid w:val="34FA62E8"/>
    <w:rsid w:val="354D3C4B"/>
    <w:rsid w:val="356F2571"/>
    <w:rsid w:val="358D0F0B"/>
    <w:rsid w:val="35935DF5"/>
    <w:rsid w:val="359D0A22"/>
    <w:rsid w:val="35F548D2"/>
    <w:rsid w:val="368F0CB2"/>
    <w:rsid w:val="375953FB"/>
    <w:rsid w:val="37950CB0"/>
    <w:rsid w:val="37FC5ED4"/>
    <w:rsid w:val="38AB6423"/>
    <w:rsid w:val="38AE3672"/>
    <w:rsid w:val="38F8669B"/>
    <w:rsid w:val="393A4F06"/>
    <w:rsid w:val="3A0D6176"/>
    <w:rsid w:val="3AE55345"/>
    <w:rsid w:val="3B0D6217"/>
    <w:rsid w:val="3B3A5239"/>
    <w:rsid w:val="3B3E811E"/>
    <w:rsid w:val="3B742225"/>
    <w:rsid w:val="3BFE2AA7"/>
    <w:rsid w:val="3C1C4D96"/>
    <w:rsid w:val="3C512802"/>
    <w:rsid w:val="3C6A11AE"/>
    <w:rsid w:val="3C9A5CBB"/>
    <w:rsid w:val="3E1F19A2"/>
    <w:rsid w:val="3E2E2549"/>
    <w:rsid w:val="3E444130"/>
    <w:rsid w:val="3E8E35FE"/>
    <w:rsid w:val="3F67457A"/>
    <w:rsid w:val="3F7DDA54"/>
    <w:rsid w:val="3F854A01"/>
    <w:rsid w:val="3FD92CA6"/>
    <w:rsid w:val="3FDFDEF3"/>
    <w:rsid w:val="3FF71329"/>
    <w:rsid w:val="3FFEBB1D"/>
    <w:rsid w:val="40027710"/>
    <w:rsid w:val="40093884"/>
    <w:rsid w:val="41336B88"/>
    <w:rsid w:val="41991DB0"/>
    <w:rsid w:val="41F63994"/>
    <w:rsid w:val="42BE7AED"/>
    <w:rsid w:val="42F00D2B"/>
    <w:rsid w:val="43000F6E"/>
    <w:rsid w:val="43244BF4"/>
    <w:rsid w:val="43CD6976"/>
    <w:rsid w:val="43D61CCF"/>
    <w:rsid w:val="44397ECA"/>
    <w:rsid w:val="445A25F4"/>
    <w:rsid w:val="4484172B"/>
    <w:rsid w:val="4541761C"/>
    <w:rsid w:val="45593A73"/>
    <w:rsid w:val="458614D2"/>
    <w:rsid w:val="46260664"/>
    <w:rsid w:val="463F37E1"/>
    <w:rsid w:val="4676220E"/>
    <w:rsid w:val="46E44703"/>
    <w:rsid w:val="46FB6AA2"/>
    <w:rsid w:val="47DB3D58"/>
    <w:rsid w:val="47EB4A6D"/>
    <w:rsid w:val="4800556C"/>
    <w:rsid w:val="4A1B48DF"/>
    <w:rsid w:val="4B3E2D75"/>
    <w:rsid w:val="4C0B15F2"/>
    <w:rsid w:val="4D070407"/>
    <w:rsid w:val="4D0B0C3B"/>
    <w:rsid w:val="4D64659D"/>
    <w:rsid w:val="4D862070"/>
    <w:rsid w:val="4D9B0761"/>
    <w:rsid w:val="4DA60964"/>
    <w:rsid w:val="4DEF0015"/>
    <w:rsid w:val="4EB06BE3"/>
    <w:rsid w:val="4EC82712"/>
    <w:rsid w:val="4EE03A01"/>
    <w:rsid w:val="4EF41C97"/>
    <w:rsid w:val="4EFD24B4"/>
    <w:rsid w:val="4F12630A"/>
    <w:rsid w:val="4FBE35AD"/>
    <w:rsid w:val="4FFEB7A1"/>
    <w:rsid w:val="50662390"/>
    <w:rsid w:val="508C2093"/>
    <w:rsid w:val="50D65239"/>
    <w:rsid w:val="51272EB1"/>
    <w:rsid w:val="51340035"/>
    <w:rsid w:val="52416E80"/>
    <w:rsid w:val="526A01B2"/>
    <w:rsid w:val="52E55A8A"/>
    <w:rsid w:val="52F873D4"/>
    <w:rsid w:val="53620E89"/>
    <w:rsid w:val="541D3002"/>
    <w:rsid w:val="557D52FF"/>
    <w:rsid w:val="55A21A11"/>
    <w:rsid w:val="57076CEF"/>
    <w:rsid w:val="57454D4A"/>
    <w:rsid w:val="578735B4"/>
    <w:rsid w:val="579B6AB0"/>
    <w:rsid w:val="57A47BB1"/>
    <w:rsid w:val="57B819BF"/>
    <w:rsid w:val="57FE374D"/>
    <w:rsid w:val="57FFA00D"/>
    <w:rsid w:val="587B479B"/>
    <w:rsid w:val="58C951D5"/>
    <w:rsid w:val="592A162A"/>
    <w:rsid w:val="59367040"/>
    <w:rsid w:val="59830CAF"/>
    <w:rsid w:val="59875AED"/>
    <w:rsid w:val="59B91A1F"/>
    <w:rsid w:val="59BB12F3"/>
    <w:rsid w:val="59F91B86"/>
    <w:rsid w:val="5A547641"/>
    <w:rsid w:val="5A6C4CE3"/>
    <w:rsid w:val="5A98365C"/>
    <w:rsid w:val="5AB741B0"/>
    <w:rsid w:val="5B8B2F47"/>
    <w:rsid w:val="5C2F5FC8"/>
    <w:rsid w:val="5C534055"/>
    <w:rsid w:val="5D613B0C"/>
    <w:rsid w:val="5DD15EFE"/>
    <w:rsid w:val="5DF4392D"/>
    <w:rsid w:val="5E6C7060"/>
    <w:rsid w:val="5EDF3132"/>
    <w:rsid w:val="5F156E15"/>
    <w:rsid w:val="5F1871E8"/>
    <w:rsid w:val="5F812FDF"/>
    <w:rsid w:val="5FFDE044"/>
    <w:rsid w:val="5FFF3634"/>
    <w:rsid w:val="5FFFC211"/>
    <w:rsid w:val="60572D1E"/>
    <w:rsid w:val="60B62814"/>
    <w:rsid w:val="60F375C4"/>
    <w:rsid w:val="616B7185"/>
    <w:rsid w:val="61D7462C"/>
    <w:rsid w:val="61E138C1"/>
    <w:rsid w:val="626B762E"/>
    <w:rsid w:val="629F5AF7"/>
    <w:rsid w:val="62F6339C"/>
    <w:rsid w:val="631D6B7A"/>
    <w:rsid w:val="63662621"/>
    <w:rsid w:val="637206E3"/>
    <w:rsid w:val="63CB7DC7"/>
    <w:rsid w:val="63E94CAF"/>
    <w:rsid w:val="646C0607"/>
    <w:rsid w:val="646D768E"/>
    <w:rsid w:val="65D8322D"/>
    <w:rsid w:val="661A55F3"/>
    <w:rsid w:val="66214BD4"/>
    <w:rsid w:val="668A35C7"/>
    <w:rsid w:val="66BF29A3"/>
    <w:rsid w:val="67E4235D"/>
    <w:rsid w:val="67FAEE64"/>
    <w:rsid w:val="680B2738"/>
    <w:rsid w:val="68E63EB3"/>
    <w:rsid w:val="698523E9"/>
    <w:rsid w:val="69A12C97"/>
    <w:rsid w:val="69A578CA"/>
    <w:rsid w:val="69D34437"/>
    <w:rsid w:val="6AAD2EDA"/>
    <w:rsid w:val="6B0B19AE"/>
    <w:rsid w:val="6B6F1005"/>
    <w:rsid w:val="6B8A7D7E"/>
    <w:rsid w:val="6BD91AAD"/>
    <w:rsid w:val="6C062D88"/>
    <w:rsid w:val="6C3B00A1"/>
    <w:rsid w:val="6C4C02DF"/>
    <w:rsid w:val="6C7A503E"/>
    <w:rsid w:val="6D627C1A"/>
    <w:rsid w:val="6D725D15"/>
    <w:rsid w:val="6EEF8290"/>
    <w:rsid w:val="6EFB9ED4"/>
    <w:rsid w:val="6EFDBBA2"/>
    <w:rsid w:val="6EFFEAF3"/>
    <w:rsid w:val="6F2F2EC4"/>
    <w:rsid w:val="6F745D74"/>
    <w:rsid w:val="6F91B01A"/>
    <w:rsid w:val="6FBF4999"/>
    <w:rsid w:val="6FC22F83"/>
    <w:rsid w:val="6FCF7E2E"/>
    <w:rsid w:val="7092131E"/>
    <w:rsid w:val="70CE7706"/>
    <w:rsid w:val="71970440"/>
    <w:rsid w:val="71AF5789"/>
    <w:rsid w:val="71CECAB0"/>
    <w:rsid w:val="725123AE"/>
    <w:rsid w:val="729130E1"/>
    <w:rsid w:val="729B5F03"/>
    <w:rsid w:val="729D55E2"/>
    <w:rsid w:val="737995A9"/>
    <w:rsid w:val="73B71BEF"/>
    <w:rsid w:val="7467234B"/>
    <w:rsid w:val="74836F6F"/>
    <w:rsid w:val="74D6302D"/>
    <w:rsid w:val="74FF0ADE"/>
    <w:rsid w:val="75664AED"/>
    <w:rsid w:val="75F84381"/>
    <w:rsid w:val="76AF3ED5"/>
    <w:rsid w:val="76E05D4D"/>
    <w:rsid w:val="77626DFA"/>
    <w:rsid w:val="776E7088"/>
    <w:rsid w:val="7796270D"/>
    <w:rsid w:val="77F7880F"/>
    <w:rsid w:val="77FDC89A"/>
    <w:rsid w:val="77FDEAAB"/>
    <w:rsid w:val="783A38D3"/>
    <w:rsid w:val="785E1CB7"/>
    <w:rsid w:val="78A771BA"/>
    <w:rsid w:val="78BEC8F2"/>
    <w:rsid w:val="790A4622"/>
    <w:rsid w:val="79310CAA"/>
    <w:rsid w:val="79C142AC"/>
    <w:rsid w:val="79F78447"/>
    <w:rsid w:val="79FB5222"/>
    <w:rsid w:val="7A220895"/>
    <w:rsid w:val="7A397292"/>
    <w:rsid w:val="7A4ED521"/>
    <w:rsid w:val="7A7A445B"/>
    <w:rsid w:val="7B2E0AA4"/>
    <w:rsid w:val="7B6F3BA0"/>
    <w:rsid w:val="7BAFE430"/>
    <w:rsid w:val="7BBC3DE8"/>
    <w:rsid w:val="7BBF9DC2"/>
    <w:rsid w:val="7BDAFAEE"/>
    <w:rsid w:val="7BFFC77A"/>
    <w:rsid w:val="7D021FF6"/>
    <w:rsid w:val="7D060228"/>
    <w:rsid w:val="7D1F6392"/>
    <w:rsid w:val="7D7B92C8"/>
    <w:rsid w:val="7DBED58C"/>
    <w:rsid w:val="7DE9E476"/>
    <w:rsid w:val="7DEF0928"/>
    <w:rsid w:val="7DF1DF56"/>
    <w:rsid w:val="7DFF7ED5"/>
    <w:rsid w:val="7E33504C"/>
    <w:rsid w:val="7E73FB06"/>
    <w:rsid w:val="7EBBD1C3"/>
    <w:rsid w:val="7EF67AD4"/>
    <w:rsid w:val="7F9DCC5A"/>
    <w:rsid w:val="7FB36A88"/>
    <w:rsid w:val="7FB73CD7"/>
    <w:rsid w:val="7FBFF73A"/>
    <w:rsid w:val="7FDF723A"/>
    <w:rsid w:val="7FE60034"/>
    <w:rsid w:val="7FEE37AF"/>
    <w:rsid w:val="7FF51DCD"/>
    <w:rsid w:val="7FFDF044"/>
    <w:rsid w:val="99BC7920"/>
    <w:rsid w:val="9EB7D09B"/>
    <w:rsid w:val="9ECF86F1"/>
    <w:rsid w:val="9FBA828E"/>
    <w:rsid w:val="A3F74FDC"/>
    <w:rsid w:val="A54F3A8C"/>
    <w:rsid w:val="A64FEB41"/>
    <w:rsid w:val="AE8B3AEC"/>
    <w:rsid w:val="AF7D46BE"/>
    <w:rsid w:val="B3FF3539"/>
    <w:rsid w:val="B6DE3C80"/>
    <w:rsid w:val="B79E87EA"/>
    <w:rsid w:val="B7A5F694"/>
    <w:rsid w:val="B7B71746"/>
    <w:rsid w:val="BA31DAD1"/>
    <w:rsid w:val="BAFBDCC9"/>
    <w:rsid w:val="BBEC0724"/>
    <w:rsid w:val="BBF1F157"/>
    <w:rsid w:val="BBFE46DC"/>
    <w:rsid w:val="BDAB7E57"/>
    <w:rsid w:val="BE7E525D"/>
    <w:rsid w:val="BF6B0E3A"/>
    <w:rsid w:val="BF7F303D"/>
    <w:rsid w:val="BFBF22B6"/>
    <w:rsid w:val="BFD73970"/>
    <w:rsid w:val="BFDF6142"/>
    <w:rsid w:val="BFFF35C8"/>
    <w:rsid w:val="C3F60242"/>
    <w:rsid w:val="C5FAF9F8"/>
    <w:rsid w:val="C9CC9B69"/>
    <w:rsid w:val="CCAC6402"/>
    <w:rsid w:val="CDDF55A7"/>
    <w:rsid w:val="CF3D629C"/>
    <w:rsid w:val="CFD7CE50"/>
    <w:rsid w:val="D33BFAFF"/>
    <w:rsid w:val="D9FB8D68"/>
    <w:rsid w:val="DB41716B"/>
    <w:rsid w:val="DBB574E0"/>
    <w:rsid w:val="DBDECEAD"/>
    <w:rsid w:val="DC9F075E"/>
    <w:rsid w:val="DDFF0689"/>
    <w:rsid w:val="DEF369FD"/>
    <w:rsid w:val="DEF774D9"/>
    <w:rsid w:val="DF5D7DC8"/>
    <w:rsid w:val="E6EE38A1"/>
    <w:rsid w:val="E6F7BA5F"/>
    <w:rsid w:val="E77D7455"/>
    <w:rsid w:val="E7B35DA5"/>
    <w:rsid w:val="EBA715BA"/>
    <w:rsid w:val="ED1171A6"/>
    <w:rsid w:val="EDDD5D43"/>
    <w:rsid w:val="EF26F139"/>
    <w:rsid w:val="EFBEAB96"/>
    <w:rsid w:val="EFFF9CD7"/>
    <w:rsid w:val="F3F7BD50"/>
    <w:rsid w:val="F69B3E5C"/>
    <w:rsid w:val="F7C866A6"/>
    <w:rsid w:val="FA57757E"/>
    <w:rsid w:val="FBD7768A"/>
    <w:rsid w:val="FCDFEE40"/>
    <w:rsid w:val="FCFF4A91"/>
    <w:rsid w:val="FD3F5827"/>
    <w:rsid w:val="FD45AACA"/>
    <w:rsid w:val="FD9FF645"/>
    <w:rsid w:val="FDF457CF"/>
    <w:rsid w:val="FDF6B2CE"/>
    <w:rsid w:val="FDFFCB52"/>
    <w:rsid w:val="FE6F470C"/>
    <w:rsid w:val="FE7DAE19"/>
    <w:rsid w:val="FEBD8917"/>
    <w:rsid w:val="FEDB1B56"/>
    <w:rsid w:val="FEEC3C05"/>
    <w:rsid w:val="FEF7F131"/>
    <w:rsid w:val="FF12D012"/>
    <w:rsid w:val="FF39A410"/>
    <w:rsid w:val="FF3B32D4"/>
    <w:rsid w:val="FF4777CA"/>
    <w:rsid w:val="FF597925"/>
    <w:rsid w:val="FF7CB5B5"/>
    <w:rsid w:val="FF7DC3C7"/>
    <w:rsid w:val="FF7FB334"/>
    <w:rsid w:val="FFC12245"/>
    <w:rsid w:val="FFCEB23E"/>
    <w:rsid w:val="FFD13B0B"/>
    <w:rsid w:val="FFDD5187"/>
    <w:rsid w:val="FFDDBEA5"/>
    <w:rsid w:val="FFE3A6FB"/>
    <w:rsid w:val="FFFB1D8D"/>
    <w:rsid w:val="FFFB9673"/>
    <w:rsid w:val="FFFC9A56"/>
    <w:rsid w:val="FFFE3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ascii="Calibri" w:hAnsi="Calibri" w:eastAsia="仿宋" w:cs="宋体"/>
      <w:kern w:val="2"/>
      <w:sz w:val="32"/>
      <w:szCs w:val="24"/>
      <w:lang w:val="en-US" w:eastAsia="zh-CN" w:bidi="ar-SA"/>
    </w:rPr>
  </w:style>
  <w:style w:type="paragraph" w:styleId="2">
    <w:name w:val="heading 1"/>
    <w:basedOn w:val="1"/>
    <w:next w:val="3"/>
    <w:qFormat/>
    <w:uiPriority w:val="0"/>
    <w:pPr>
      <w:keepNext/>
      <w:keepLines/>
      <w:spacing w:line="240" w:lineRule="auto"/>
      <w:ind w:firstLine="0" w:firstLineChars="0"/>
      <w:jc w:val="center"/>
      <w:outlineLvl w:val="0"/>
    </w:pPr>
    <w:rPr>
      <w:rFonts w:eastAsia="黑体"/>
      <w:bCs/>
      <w:kern w:val="44"/>
      <w:szCs w:val="44"/>
    </w:rPr>
  </w:style>
  <w:style w:type="paragraph" w:styleId="3">
    <w:name w:val="heading 2"/>
    <w:basedOn w:val="1"/>
    <w:next w:val="1"/>
    <w:link w:val="20"/>
    <w:unhideWhenUsed/>
    <w:qFormat/>
    <w:uiPriority w:val="0"/>
    <w:pPr>
      <w:keepNext/>
      <w:keepLines/>
      <w:spacing w:line="240" w:lineRule="auto"/>
      <w:ind w:firstLine="0" w:firstLineChars="0"/>
      <w:jc w:val="center"/>
      <w:outlineLvl w:val="1"/>
    </w:pPr>
    <w:rPr>
      <w:rFonts w:ascii="Arial" w:hAnsi="Arial" w:eastAsia="楷体"/>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spacing w:line="560" w:lineRule="exact"/>
    </w:pPr>
    <w:rPr>
      <w:rFonts w:ascii="Times New Roman" w:hAnsi="Times New Roman" w:cs="Times New Roman"/>
      <w:sz w:val="30"/>
      <w:szCs w:val="30"/>
    </w:rPr>
  </w:style>
  <w:style w:type="paragraph" w:styleId="5">
    <w:name w:val="toc 2"/>
    <w:basedOn w:val="1"/>
    <w:next w:val="1"/>
    <w:qFormat/>
    <w:uiPriority w:val="0"/>
    <w:pPr>
      <w:ind w:left="240"/>
      <w:jc w:val="left"/>
    </w:pPr>
    <w:rPr>
      <w:smallCaps/>
      <w:sz w:val="20"/>
      <w:szCs w:val="20"/>
    </w:rPr>
  </w:style>
  <w:style w:type="paragraph" w:styleId="6">
    <w:name w:val="index 5"/>
    <w:basedOn w:val="1"/>
    <w:next w:val="1"/>
    <w:unhideWhenUsed/>
    <w:qFormat/>
    <w:uiPriority w:val="99"/>
    <w:pPr>
      <w:spacing w:line="360" w:lineRule="auto"/>
      <w:ind w:firstLine="640"/>
      <w:jc w:val="left"/>
    </w:pPr>
    <w:rPr>
      <w:rFonts w:ascii="仿宋" w:hAnsi="仿宋" w:cs="Times New Roman"/>
      <w:bCs/>
      <w:szCs w:val="32"/>
    </w:rPr>
  </w:style>
  <w:style w:type="paragraph" w:styleId="7">
    <w:name w:val="annotation text"/>
    <w:basedOn w:val="1"/>
    <w:qFormat/>
    <w:uiPriority w:val="0"/>
    <w:pPr>
      <w:jc w:val="left"/>
    </w:pPr>
  </w:style>
  <w:style w:type="paragraph" w:styleId="8">
    <w:name w:val="Body Text"/>
    <w:basedOn w:val="1"/>
    <w:next w:val="9"/>
    <w:qFormat/>
    <w:uiPriority w:val="0"/>
  </w:style>
  <w:style w:type="paragraph" w:customStyle="1" w:styleId="9">
    <w:name w:val="Pull Quote"/>
    <w:basedOn w:val="1"/>
    <w:next w:val="10"/>
    <w:qFormat/>
    <w:uiPriority w:val="0"/>
    <w:pPr>
      <w:shd w:val="pct10" w:color="000000" w:fill="auto"/>
      <w:spacing w:before="120" w:after="240" w:line="288" w:lineRule="auto"/>
      <w:ind w:left="144" w:right="144" w:firstLine="0"/>
      <w:jc w:val="center"/>
    </w:pPr>
    <w:rPr>
      <w:rFonts w:ascii="Times New Roman" w:eastAsia="黑体"/>
      <w:b/>
      <w:i/>
      <w:sz w:val="24"/>
    </w:rPr>
  </w:style>
  <w:style w:type="paragraph" w:customStyle="1" w:styleId="10">
    <w:name w:val="样式3"/>
    <w:basedOn w:val="11"/>
    <w:next w:val="2"/>
    <w:qFormat/>
    <w:uiPriority w:val="0"/>
    <w:pPr>
      <w:numPr>
        <w:ilvl w:val="2"/>
        <w:numId w:val="1"/>
      </w:numPr>
      <w:ind w:firstLine="0" w:firstLineChars="0"/>
      <w:outlineLvl w:val="2"/>
    </w:pPr>
    <w:rPr>
      <w:b/>
      <w:sz w:val="30"/>
      <w:szCs w:val="30"/>
    </w:rPr>
  </w:style>
  <w:style w:type="paragraph" w:customStyle="1" w:styleId="11">
    <w:name w:val="列出段落1"/>
    <w:basedOn w:val="1"/>
    <w:qFormat/>
    <w:uiPriority w:val="99"/>
  </w:style>
  <w:style w:type="paragraph" w:styleId="12">
    <w:name w:val="Balloon Text"/>
    <w:basedOn w:val="1"/>
    <w:qFormat/>
    <w:uiPriority w:val="0"/>
    <w:pPr>
      <w:spacing w:line="260" w:lineRule="exact"/>
    </w:pPr>
    <w:rPr>
      <w:rFonts w:eastAsia="宋体"/>
      <w:sz w:val="21"/>
      <w:szCs w:val="18"/>
    </w:rPr>
  </w:style>
  <w:style w:type="paragraph" w:styleId="13">
    <w:name w:val="footer"/>
    <w:basedOn w:val="1"/>
    <w:unhideWhenUsed/>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Normal (Web)"/>
    <w:basedOn w:val="1"/>
    <w:qFormat/>
    <w:uiPriority w:val="0"/>
    <w:pPr>
      <w:spacing w:beforeAutospacing="1" w:afterAutospacing="1"/>
      <w:jc w:val="left"/>
    </w:pPr>
    <w:rPr>
      <w:rFonts w:cs="Times New Roman"/>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标题 2 Char"/>
    <w:link w:val="3"/>
    <w:qFormat/>
    <w:uiPriority w:val="0"/>
    <w:rPr>
      <w:rFonts w:ascii="Arial" w:hAnsi="Arial" w:eastAsia="楷体"/>
    </w:rPr>
  </w:style>
  <w:style w:type="paragraph" w:customStyle="1" w:styleId="21">
    <w:name w:val="专栏"/>
    <w:basedOn w:val="1"/>
    <w:qFormat/>
    <w:uiPriority w:val="0"/>
    <w:pPr>
      <w:spacing w:line="240" w:lineRule="auto"/>
    </w:pPr>
    <w:rPr>
      <w:rFonts w:hint="eastAsia" w:ascii="宋体" w:hAnsi="宋体" w:eastAsia="宋体"/>
      <w:sz w:val="21"/>
      <w:szCs w:val="21"/>
    </w:rPr>
  </w:style>
  <w:style w:type="paragraph" w:customStyle="1" w:styleId="22">
    <w:name w:val="正文-公1"/>
    <w:basedOn w:val="23"/>
    <w:next w:val="1"/>
    <w:qFormat/>
    <w:uiPriority w:val="0"/>
    <w:pPr>
      <w:ind w:firstLine="200"/>
      <w:jc w:val="left"/>
    </w:pPr>
    <w:rPr>
      <w:rFonts w:ascii="Times New Roman" w:hAnsi="Times New Roman" w:eastAsia="仿宋_GB2312"/>
    </w:rPr>
  </w:style>
  <w:style w:type="paragraph" w:customStyle="1" w:styleId="23">
    <w:name w:val="正文 New New New"/>
    <w:next w:val="22"/>
    <w:qFormat/>
    <w:uiPriority w:val="0"/>
    <w:pPr>
      <w:widowControl w:val="0"/>
      <w:jc w:val="both"/>
    </w:pPr>
    <w:rPr>
      <w:rFonts w:ascii="Calibri" w:hAnsi="Calibri" w:eastAsia="宋体" w:cs="Times New Roman"/>
      <w:kern w:val="2"/>
      <w:sz w:val="21"/>
      <w:szCs w:val="24"/>
      <w:lang w:val="en-US" w:eastAsia="zh-CN" w:bidi="ar-SA"/>
    </w:rPr>
  </w:style>
  <w:style w:type="character" w:customStyle="1" w:styleId="24">
    <w:name w:val="font11"/>
    <w:basedOn w:val="19"/>
    <w:qFormat/>
    <w:uiPriority w:val="0"/>
    <w:rPr>
      <w:rFonts w:hint="eastAsia" w:ascii="仿宋" w:hAnsi="仿宋" w:eastAsia="仿宋" w:cs="仿宋"/>
      <w:color w:val="000000"/>
      <w:sz w:val="24"/>
      <w:szCs w:val="24"/>
      <w:u w:val="none"/>
    </w:rPr>
  </w:style>
  <w:style w:type="character" w:customStyle="1" w:styleId="25">
    <w:name w:val="font21"/>
    <w:basedOn w:val="19"/>
    <w:qFormat/>
    <w:uiPriority w:val="0"/>
    <w:rPr>
      <w:rFonts w:hint="eastAsia" w:ascii="仿宋" w:hAnsi="仿宋" w:eastAsia="仿宋" w:cs="仿宋"/>
      <w:color w:val="000000"/>
      <w:sz w:val="24"/>
      <w:szCs w:val="24"/>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10e47891-ad8c-419c-a937-4e061d7cf918</errorID>
      <errorWord>和</errorWord>
      <group>L1_Word</group>
      <groupName>字词问题</groupName>
      <ability>L2_Typo</ability>
      <abilityName>字词错误</abilityName>
      <candidateList>
        <item>占</item>
      </candidateList>
      <explain/>
      <paraID>1D216618</paraID>
      <start>32</start>
      <end>33</end>
      <status>unmodified</status>
      <modifiedWord/>
      <trackRevisions>false</trackRevisions>
    </reviewItem>
    <reviewItem>
      <errorID>9ffc9784-1347-4fe3-ada4-7624bddf8971</errorID>
      <errorWord>、和</errorWord>
      <group>L1_Punc</group>
      <groupName>标点问题</groupName>
      <ability>L2_Punc_CN</ability>
      <abilityName/>
      <candidateList>
        <item>和</item>
      </candidateList>
      <explain>“及”“和”“等”连词前不宜使用顿号，建议删除（或使用逗号）。</explain>
      <paraID>219122A8</paraID>
      <start>167</start>
      <end>169</end>
      <status>unmodified</status>
      <modifiedWord/>
      <trackRevisions>false</trackRevisions>
    </reviewItem>
    <reviewItem>
      <errorID>dc5c6df3-2642-4a87-89cd-12ce6f71d2e0</errorID>
      <errorWord>带货</errorWord>
      <group>L1_Official</group>
      <groupName>公文问题</groupName>
      <ability>L2_Official</ability>
      <abilityName>公文问题</abilityName>
      <candidateList/>
      <explain>公文中禁止出现该词语</explain>
      <paraID>40F0890B</paraID>
      <start>104</start>
      <end>106</end>
      <status>unmodified</status>
      <modifiedWord/>
      <trackRevisions>false</trackRevisions>
    </reviewItem>
    <reviewItem>
      <errorID>bd71c5f3-5eb5-4417-ad99-4c1bbe259781</errorID>
      <errorWord>镇</errorWord>
      <group>L1_Word</group>
      <groupName>字词问题</groupName>
      <ability>L2_Typo</ability>
      <abilityName>字词错误</abilityName>
      <candidateList>
        <item>镇等</item>
      </candidateList>
      <explain/>
      <paraID> D71FCF0</paraID>
      <start>115</start>
      <end>117</end>
      <status>modified</status>
      <modifiedWord>镇等</modifiedWord>
      <trackRevisions>false</trackRevisions>
    </reviewItem>
    <reviewItem>
      <errorID>b9f6fbe3-ea26-496b-b286-7c7a3f43f0d5</errorID>
      <errorWord>带货</errorWord>
      <group>L1_Official</group>
      <groupName>公文问题</groupName>
      <ability>L2_Official</ability>
      <abilityName>公文问题</abilityName>
      <candidateList/>
      <explain>公文中禁止出现该词语</explain>
      <paraID>471986F3</paraID>
      <start>116</start>
      <end>118</end>
      <status>ignored</status>
      <modifiedWord/>
      <trackRevisions>false</trackRevisions>
    </reviewItem>
    <reviewItem>
      <errorID>60a3462b-7231-4b10-bd34-e92753ef4e44</errorID>
      <errorWord>环网</errorWord>
      <group>L1_Word</group>
      <groupName>字词问题</groupName>
      <ability>L2_Typo</ability>
      <abilityName>字词错误</abilityName>
      <candidateList>
        <item>管网</item>
      </candidateList>
      <explain/>
      <paraID>42418B40</paraID>
      <start>121</start>
      <end>123</end>
      <status>unmodified</status>
      <modifiedWord/>
      <trackRevisions>false</trackRevisions>
    </reviewItem>
    <reviewItem>
      <errorID>b5759357-83b6-48cc-aa4c-791514259f69</errorID>
      <errorWord>城镇排水防涝</errorWord>
      <group>L1_Political</group>
      <groupName>政治性问题</groupName>
      <ability>L2_Keyword</ability>
      <abilityName>固定表述</abilityName>
      <candidateList>
        <item>城市排水防涝</item>
      </candidateList>
      <explain>词汇“城市排水防涝”在特定场景下为固定表述形式，请确认此处的“城镇排水防涝”是否存在不当。</explain>
      <paraID>3293EBAB</paraID>
      <start>50</start>
      <end>56</end>
      <status>unmodified</status>
      <modifiedWord/>
      <trackRevisions>false</trackRevisions>
    </reviewItem>
    <reviewItem>
      <errorID>beef1687-b0ed-4807-b335-3e53ecbc80d6</errorID>
      <errorWord>至于</errorWord>
      <group>L1_Word</group>
      <groupName>字词问题</groupName>
      <ability>L2_Typo</ability>
      <abilityName>字词错误</abilityName>
      <candidateList>
        <item>至</item>
      </candidateList>
      <explain>❶〈动〉到：～今｜自始～终｜～死不屈。❷至于：甚～。❸〈副〉极；最：为感谢～｜你要早来，～迟下星期内一定赶到。</explain>
      <paraID>3377A627</paraID>
      <start>105</start>
      <end>107</end>
      <status>unmodified</status>
      <modifiedWord/>
      <trackRevisions>false</trackRevisions>
    </reviewItem>
    <reviewItem>
      <errorID>694be98c-6c72-48c8-bec2-ffd2f1009209</errorID>
      <errorWord>内卷</errorWord>
      <group>L1_Official</group>
      <groupName>公文问题</groupName>
      <ability>L2_Official</ability>
      <abilityName>公文问题</abilityName>
      <candidateList/>
      <explain>公文中禁止出现该词语</explain>
      <paraID> F7FC508</paraID>
      <start>171</start>
      <end>173</end>
      <status>unmodified</status>
      <modifiedWord/>
      <trackRevisions>false</trackRevisions>
    </reviewItem>
    <reviewItem>
      <errorID>5c6563ed-846d-4cf9-83aa-6a10475c5164</errorID>
      <errorWord>八大岭</errorWord>
      <group>L1_Word</group>
      <groupName>字词问题</groupName>
      <ability>L2_Typo</ability>
      <abilityName>字词错误</abilityName>
      <candidateList>
        <item>八达岭</item>
      </candidateList>
      <explain/>
      <paraID>2E3F8EF7</paraID>
      <start>84</start>
      <end>87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bc7be8-99b7-46f0-b3cc-72a72e86d22d}">
  <ds:schemaRefs/>
</ds:datastoreItem>
</file>

<file path=docProps/app.xml><?xml version="1.0" encoding="utf-8"?>
<Properties xmlns="http://schemas.openxmlformats.org/officeDocument/2006/extended-properties" xmlns:vt="http://schemas.openxmlformats.org/officeDocument/2006/docPropsVTypes">
  <Template>Normal</Template>
  <Pages>95</Pages>
  <Words>8727</Words>
  <Characters>9019</Characters>
  <Lines>440</Lines>
  <Paragraphs>124</Paragraphs>
  <TotalTime>0</TotalTime>
  <ScaleCrop>false</ScaleCrop>
  <LinksUpToDate>false</LinksUpToDate>
  <CharactersWithSpaces>9318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2025-12-08T02:12:00Z</dcterms:created>
  <dc:creator>uos</dc:creator>
  <cp:lastModifiedBy>─━═噢荬尬</cp:lastModifiedBy>
  <dcterms:modified xsi:type="dcterms:W3CDTF">2026-07-29T07:34:50Z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eyJoZGlkIjoiYTQ0MTY5ZTI5YjI2NmMyYmRlOTU1ZDA4YzAxZjdiNGUiLCJ1c2VySWQiOiIzMDcxNTgwNDAifQ==</vt:lpwstr>
  </property>
  <property fmtid="{D5CDD505-2E9C-101B-9397-08002B2CF9AE}" pid="4" name="ICV">
    <vt:lpwstr>E18A4E3EA655484EA41DBA15B8ADDFB3_13</vt:lpwstr>
  </property>
</Properties>
</file>