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0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关于《长春市二道区坚决制止耕地“非农化”行为防止耕地“非粮化”清理排查阶段</w:t>
      </w:r>
    </w:p>
    <w:p>
      <w:pPr>
        <w:keepNext w:val="0"/>
        <w:keepLines w:val="0"/>
        <w:pageBreakBefore w:val="0"/>
        <w:widowControl w:val="0"/>
        <w:tabs>
          <w:tab w:val="left" w:pos="80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实施方案》的政策解读</w:t>
      </w:r>
    </w:p>
    <w:p>
      <w:pPr>
        <w:keepNext w:val="0"/>
        <w:keepLines w:val="0"/>
        <w:pageBreakBefore w:val="0"/>
        <w:widowControl w:val="0"/>
        <w:tabs>
          <w:tab w:val="left" w:pos="805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解读方案要点</w:t>
      </w:r>
    </w:p>
    <w:p>
      <w:pPr>
        <w:spacing w:line="560" w:lineRule="exact"/>
        <w:ind w:firstLine="723" w:firstLineChars="22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解读重点：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坚决制止耕地“非农化”行为防止耕地“非粮化”清理排查阶段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工作的重要意义：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为贯彻落实《吉林省自然资源厅 吉林省农业农村厅 吉林省林业和草原局关于印发〈吉林省坚决制止耕地“非农化”行为防止耕地“非粮化”摸底排查阶段实施方案〉的通知 》（吉自然资办发〔2021〕31号）精神，切实做好侵占或变相侵占耕地、从事“非农化”“非粮化”建设等问题，防止耕地“非粮化”倾向，做好清理排查阶段有关工作。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解读时间：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2021年7月20日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解读方式：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重点问题回应</w:t>
      </w:r>
      <w:bookmarkStart w:id="0" w:name="_GoBack"/>
      <w:bookmarkEnd w:id="0"/>
    </w:p>
    <w:p>
      <w:pPr>
        <w:numPr>
          <w:ilvl w:val="0"/>
          <w:numId w:val="0"/>
        </w:numPr>
        <w:ind w:firstLine="643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解读渠道：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自然资源部、省市关于此项工作的相关文件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二、解读内容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长春市二道区坚决制止耕地“非农化”行为防止耕地“非粮化”清理排查阶段实施方案的工作任务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？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(一)清理排查违规占用耕地从事“非农化”建设问题。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(二)清理排查耕地“非粮化”，开展粮食生产功能区划定“回头看”。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(三)完善土地流转管理，清理排查工商资本流转耕地导致耕地“非粮化”问题。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（四）清理排查违规占用耕地和永久基本农田建设人造景观问题。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(五)清理排查违规占用永久基本农田种植苗木、草皮和种树挖塘等问题。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长春市二道区坚决制止耕地“非农化”行为防止耕地“非粮化”清理排查阶段实施方案的工作步骤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？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（一）全面开展清理排查。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（二）核实清理排查成果。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（三）上报市级审核。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长春市二道区坚决制止耕地“非农化”行为防止耕地“非粮化”清理排查阶段实施方案的工作要求？</w:t>
      </w:r>
    </w:p>
    <w:p>
      <w:pPr>
        <w:ind w:firstLine="640" w:firstLineChars="200"/>
        <w:rPr>
          <w:rFonts w:hint="eastAsia" w:ascii="楷体" w:hAnsi="楷体" w:eastAsia="楷体" w:cstheme="minorBidi"/>
          <w:kern w:val="2"/>
          <w:sz w:val="32"/>
          <w:szCs w:val="32"/>
        </w:rPr>
      </w:pPr>
      <w:r>
        <w:rPr>
          <w:rFonts w:hint="eastAsia" w:ascii="楷体" w:hAnsi="楷体" w:eastAsia="楷体" w:cstheme="minorBidi"/>
          <w:kern w:val="2"/>
          <w:sz w:val="32"/>
          <w:szCs w:val="32"/>
        </w:rPr>
        <w:t>（一）强化组织领导。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（二）加强协作配合。</w:t>
      </w:r>
    </w:p>
    <w:p>
      <w:pPr>
        <w:ind w:firstLine="640" w:firstLineChars="200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kern w:val="2"/>
          <w:sz w:val="32"/>
          <w:szCs w:val="32"/>
        </w:rPr>
        <w:t>（三）强化宣传引导。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2ECD2"/>
    <w:multiLevelType w:val="singleLevel"/>
    <w:tmpl w:val="B0B2EC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A00"/>
    <w:rsid w:val="0DCD705B"/>
    <w:rsid w:val="1A867196"/>
    <w:rsid w:val="1CB935F1"/>
    <w:rsid w:val="214E1195"/>
    <w:rsid w:val="22442055"/>
    <w:rsid w:val="4E824E43"/>
    <w:rsid w:val="63E95A00"/>
    <w:rsid w:val="7E7D5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2021-03-26T05:28:00Z</dcterms:created>
  <dc:creator>小肥羊</dc:creator>
  <cp:lastModifiedBy>傻傻</cp:lastModifiedBy>
  <dcterms:modified xsi:type="dcterms:W3CDTF">2021-10-15T06:39:24Z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7EA115FF904F4232AE38160D648AB03A</vt:lpwstr>
  </property>
</Properties>
</file>