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长春市二道区坚决制止耕地“非农化”行为</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防止耕地“非粮化”清理排查阶段</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实施方案</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为贯彻落实《吉林省自然资源厅 吉林省农业农村厅 吉林省林业和草原局关于印发〈吉林省坚决制止耕地“非农化”行为防止耕地“非粮化”摸底排查阶段实施方案〉的通知 》（吉自然资办发〔2021〕31号）精神，切实做好侵占或变相侵占耕地、从事“非农化”“非粮化”建设等问题，防止耕地“非粮化”倾向，做好清理排查阶段有关工作，结合我区实际，制定如下实施方案。</w:t>
      </w:r>
    </w:p>
    <w:p>
      <w:pPr>
        <w:ind w:firstLine="640" w:firstLineChars="200"/>
        <w:rPr>
          <w:rFonts w:ascii="黑体" w:hAnsi="黑体" w:eastAsia="黑体"/>
          <w:sz w:val="32"/>
          <w:szCs w:val="32"/>
        </w:rPr>
      </w:pPr>
      <w:r>
        <w:rPr>
          <w:rFonts w:hint="eastAsia" w:ascii="黑体" w:hAnsi="黑体" w:eastAsia="黑体"/>
          <w:sz w:val="32"/>
          <w:szCs w:val="32"/>
        </w:rPr>
        <w:t>一、工作任务</w:t>
      </w:r>
    </w:p>
    <w:p>
      <w:pPr>
        <w:ind w:firstLine="640" w:firstLineChars="200"/>
        <w:rPr>
          <w:rFonts w:ascii="楷体" w:hAnsi="楷体" w:eastAsia="楷体"/>
          <w:sz w:val="32"/>
          <w:szCs w:val="32"/>
        </w:rPr>
      </w:pPr>
      <w:r>
        <w:rPr>
          <w:rFonts w:hint="eastAsia" w:ascii="楷体" w:hAnsi="楷体" w:eastAsia="楷体"/>
          <w:sz w:val="32"/>
          <w:szCs w:val="32"/>
        </w:rPr>
        <w:t>(一)清理排查违规占用耕地从事“非农化”建设问题。</w:t>
      </w:r>
    </w:p>
    <w:p>
      <w:pPr>
        <w:ind w:firstLine="640" w:firstLineChars="200"/>
        <w:rPr>
          <w:rFonts w:ascii="仿宋" w:hAnsi="仿宋" w:eastAsia="仿宋"/>
          <w:sz w:val="32"/>
          <w:szCs w:val="32"/>
        </w:rPr>
      </w:pPr>
      <w:r>
        <w:rPr>
          <w:rFonts w:hint="eastAsia" w:ascii="仿宋" w:hAnsi="仿宋" w:eastAsia="仿宋"/>
          <w:sz w:val="32"/>
          <w:szCs w:val="32"/>
        </w:rPr>
        <w:t>1.要结合三调初步成果，历年土地利用年度变更调查成果、卫片执法检查，“大棚房”、违建别墅、乱占耕地建房问题清理整治成果，全面摸清本区域内未按规划审批乱占或变相侵占耕地及永久基本农田从事非农建设问题，摸清耕地“非农化”问题底数，排查通过调整乡镇（街道）、村组国土空间规划规避占用永久基本农田审批问题。(牵头部门：长春市规划和自然资源局二道分局，配合部门：长春市二道区农业农村局)</w:t>
      </w:r>
    </w:p>
    <w:p>
      <w:pPr>
        <w:ind w:firstLine="640" w:firstLineChars="200"/>
        <w:rPr>
          <w:rFonts w:ascii="仿宋" w:hAnsi="仿宋" w:eastAsia="仿宋"/>
          <w:sz w:val="32"/>
          <w:szCs w:val="32"/>
        </w:rPr>
      </w:pPr>
      <w:r>
        <w:rPr>
          <w:rFonts w:hint="eastAsia" w:ascii="仿宋" w:hAnsi="仿宋" w:eastAsia="仿宋"/>
          <w:sz w:val="32"/>
          <w:szCs w:val="32"/>
        </w:rPr>
        <w:t>2.清理排查违法违规占用耕地建设行为，建设项目用地强占多占、批甲占乙、非法出租出售等问题；临时用地超过规定时限使用问题。(责任部门：长春市规划和自然资源局二道分局)</w:t>
      </w:r>
    </w:p>
    <w:p>
      <w:pPr>
        <w:ind w:firstLine="640" w:firstLineChars="200"/>
        <w:rPr>
          <w:rFonts w:ascii="仿宋" w:hAnsi="仿宋" w:eastAsia="仿宋"/>
          <w:sz w:val="32"/>
          <w:szCs w:val="32"/>
        </w:rPr>
      </w:pPr>
      <w:r>
        <w:rPr>
          <w:rFonts w:hint="eastAsia" w:ascii="仿宋" w:hAnsi="仿宋" w:eastAsia="仿宋"/>
          <w:sz w:val="32"/>
          <w:szCs w:val="32"/>
        </w:rPr>
        <w:t>3.清理排查设施农业用地不符合规定问题。按照文件规定，严格核查备案手续，符合文件规定要求的，录入设施农业用地备案系统，不符合规定的，分类处置，确保设施农业用地备案手续合规、资料完整。(牵头部门：长春市规划和自然资源局二道分局，配合部门：长春市二道区农业农村局、长春市二道区畜牧业管理局)</w:t>
      </w:r>
    </w:p>
    <w:p>
      <w:pPr>
        <w:ind w:firstLine="640" w:firstLineChars="200"/>
        <w:rPr>
          <w:rFonts w:ascii="楷体" w:hAnsi="楷体" w:eastAsia="楷体"/>
          <w:sz w:val="32"/>
          <w:szCs w:val="32"/>
        </w:rPr>
      </w:pPr>
      <w:r>
        <w:rPr>
          <w:rFonts w:hint="eastAsia" w:ascii="楷体" w:hAnsi="楷体" w:eastAsia="楷体"/>
          <w:sz w:val="32"/>
          <w:szCs w:val="32"/>
        </w:rPr>
        <w:t>(二)清理排查耕地“非粮化”，开展粮食生产功能区划定“回头看”。</w:t>
      </w:r>
    </w:p>
    <w:p>
      <w:pPr>
        <w:ind w:firstLine="640" w:firstLineChars="200"/>
        <w:rPr>
          <w:rFonts w:ascii="仿宋" w:hAnsi="仿宋" w:eastAsia="仿宋"/>
          <w:sz w:val="32"/>
          <w:szCs w:val="32"/>
        </w:rPr>
      </w:pPr>
      <w:r>
        <w:rPr>
          <w:rFonts w:hint="eastAsia" w:ascii="楷体" w:hAnsi="楷体" w:eastAsia="楷体"/>
          <w:sz w:val="32"/>
          <w:szCs w:val="32"/>
        </w:rPr>
        <w:t>4.</w:t>
      </w:r>
      <w:r>
        <w:rPr>
          <w:rFonts w:hint="eastAsia" w:ascii="仿宋" w:hAnsi="仿宋" w:eastAsia="仿宋"/>
          <w:sz w:val="32"/>
          <w:szCs w:val="32"/>
        </w:rPr>
        <w:t>对耕地“非粮化”情况进行全面摸排，坚决遏制耕地“非粮化”增量，同时摸清存量底数，研究制定切实可行的整改方案，坚持实事求是，分类稳妥处置，不搞“一刀切”。进一步明确耕地利用优先序，对耕地实行特殊保护和用途管制，严格控制耕地转为林地、园地等其他类型农用地。永久基本农田重点用于发展粮食生产，特别要保障玉米、水稻等主要粮食作物种植面积。 (牵头部门：长春市二道区农业农村局，配合部门：长春市规划和自然资源局二道分局、长春市二道区林业局)</w:t>
      </w:r>
    </w:p>
    <w:p>
      <w:pPr>
        <w:ind w:firstLine="640" w:firstLineChars="200"/>
        <w:rPr>
          <w:rFonts w:ascii="仿宋" w:hAnsi="仿宋" w:eastAsia="仿宋"/>
          <w:sz w:val="32"/>
          <w:szCs w:val="32"/>
        </w:rPr>
      </w:pPr>
      <w:r>
        <w:rPr>
          <w:rFonts w:hint="eastAsia" w:ascii="仿宋" w:hAnsi="仿宋" w:eastAsia="仿宋"/>
          <w:sz w:val="32"/>
          <w:szCs w:val="32"/>
        </w:rPr>
        <w:t>5.针对已划定的粮食生产功能区和重要农产品生产保护区，开展“回头看”，排查耕地性质改变或不能种植目标作物等问题，对耕地性质发生改变、不符合划定标准的予以剔除并进行补划。同时，加强粮食生产功能区和重要农产品生产保护区日常监管，不得擅自调整粮食生产功能区和重要农产品生产保护区，不得在粮食生产功能区和重要农产品生产保护区内建设种植和养殖设施，不得将粮食生产功能区和重要农产品生产保护区纳入退耕还林还草范围，不得在粮食生产功能区和重要农产品生产保护区超标准建设农田林网。(牵头部门：长春市二道区农业农村局，配合部门：长春市规划和自然资源局二道分局、长春市二道区林业局)</w:t>
      </w:r>
    </w:p>
    <w:p>
      <w:pPr>
        <w:ind w:firstLine="640" w:firstLineChars="200"/>
        <w:rPr>
          <w:rFonts w:ascii="楷体" w:hAnsi="楷体" w:eastAsia="楷体"/>
          <w:sz w:val="32"/>
          <w:szCs w:val="32"/>
        </w:rPr>
      </w:pPr>
      <w:r>
        <w:rPr>
          <w:rFonts w:hint="eastAsia" w:ascii="楷体" w:hAnsi="楷体" w:eastAsia="楷体"/>
          <w:sz w:val="32"/>
          <w:szCs w:val="32"/>
        </w:rPr>
        <w:t xml:space="preserve"> (三)完善土地流转管理，清理排查工商资本流转耕地导致耕地“非粮化”问题。</w:t>
      </w:r>
    </w:p>
    <w:p>
      <w:pPr>
        <w:ind w:firstLine="640" w:firstLineChars="200"/>
        <w:rPr>
          <w:rFonts w:ascii="仿宋" w:hAnsi="仿宋" w:eastAsia="仿宋"/>
          <w:sz w:val="32"/>
          <w:szCs w:val="32"/>
        </w:rPr>
      </w:pPr>
      <w:r>
        <w:rPr>
          <w:rFonts w:hint="eastAsia" w:ascii="仿宋" w:hAnsi="仿宋" w:eastAsia="仿宋"/>
          <w:sz w:val="32"/>
          <w:szCs w:val="32"/>
        </w:rPr>
        <w:t xml:space="preserve">6.进一步规范土地流转行为，建立健全工商资本流转土地资格审查和项目审核制度，依据流转合同，结合实地调查，全面排查工商资本违反相关产业规划大规模流转耕地不种粮问题，一经发现坚决予以纠正，并立即停止其享受相关扶持政策，积极引导流转土地优先用于粮食生产。(牵头部门：长春市二道区农业农村局，配合部门：长春市规划和自然资源局二道分局、长春市二道区市场监管局) </w:t>
      </w:r>
    </w:p>
    <w:p>
      <w:pPr>
        <w:ind w:firstLine="640" w:firstLineChars="200"/>
        <w:rPr>
          <w:rFonts w:ascii="楷体" w:hAnsi="楷体" w:eastAsia="楷体"/>
          <w:sz w:val="32"/>
          <w:szCs w:val="32"/>
        </w:rPr>
      </w:pPr>
      <w:r>
        <w:rPr>
          <w:rFonts w:hint="eastAsia" w:ascii="楷体" w:hAnsi="楷体" w:eastAsia="楷体"/>
          <w:sz w:val="32"/>
          <w:szCs w:val="32"/>
        </w:rPr>
        <w:t>（四）清理排查违规占用耕地和永久基本农田建设人造景观问题。</w:t>
      </w:r>
    </w:p>
    <w:p>
      <w:pPr>
        <w:ind w:firstLine="640" w:firstLineChars="200"/>
        <w:rPr>
          <w:rFonts w:ascii="仿宋" w:hAnsi="仿宋" w:eastAsia="仿宋"/>
          <w:sz w:val="32"/>
          <w:szCs w:val="32"/>
        </w:rPr>
      </w:pPr>
      <w:r>
        <w:rPr>
          <w:rFonts w:hint="eastAsia" w:ascii="仿宋" w:hAnsi="仿宋" w:eastAsia="仿宋"/>
          <w:sz w:val="32"/>
          <w:szCs w:val="32"/>
        </w:rPr>
        <w:t>7.排查以河流、湿地、湖泊治理或生态红线划定为名擅自占用耕地及永久基本农田挖田造湖、挖湖造景或超标准划定蓝线等问题。(牵头部门：长春市二道区水利局，配合部门：长春市规划和自然资源局二道分局)</w:t>
      </w:r>
    </w:p>
    <w:p>
      <w:pPr>
        <w:ind w:firstLine="640" w:firstLineChars="200"/>
        <w:rPr>
          <w:rFonts w:ascii="仿宋" w:hAnsi="仿宋" w:eastAsia="仿宋"/>
          <w:sz w:val="32"/>
          <w:szCs w:val="32"/>
        </w:rPr>
      </w:pPr>
      <w:r>
        <w:rPr>
          <w:rFonts w:hint="eastAsia" w:ascii="仿宋" w:hAnsi="仿宋" w:eastAsia="仿宋"/>
          <w:sz w:val="32"/>
          <w:szCs w:val="32"/>
        </w:rPr>
        <w:t>8.排查在城市建设中违规占用耕地建设人造湿地公园、人造水利景观问题，及违规占用永久基本农田建设人造“花海”景观问题。(责任单位：长春市规划和自然资源局二道分局、长春市二道区农业农村局)</w:t>
      </w:r>
    </w:p>
    <w:p>
      <w:pPr>
        <w:ind w:firstLine="640" w:firstLineChars="200"/>
        <w:rPr>
          <w:rFonts w:ascii="楷体" w:hAnsi="楷体" w:eastAsia="楷体"/>
          <w:sz w:val="32"/>
          <w:szCs w:val="32"/>
        </w:rPr>
      </w:pPr>
      <w:r>
        <w:rPr>
          <w:rFonts w:hint="eastAsia" w:ascii="楷体" w:hAnsi="楷体" w:eastAsia="楷体"/>
          <w:sz w:val="32"/>
          <w:szCs w:val="32"/>
        </w:rPr>
        <w:t xml:space="preserve"> (五)清理排查违规占用永久基本农田种植苗木、草皮和种树挖塘等问题。</w:t>
      </w:r>
    </w:p>
    <w:p>
      <w:pPr>
        <w:ind w:firstLine="640" w:firstLineChars="200"/>
        <w:rPr>
          <w:rFonts w:ascii="仿宋" w:hAnsi="仿宋" w:eastAsia="仿宋"/>
          <w:sz w:val="32"/>
          <w:szCs w:val="32"/>
        </w:rPr>
      </w:pPr>
      <w:r>
        <w:rPr>
          <w:rFonts w:hint="eastAsia" w:ascii="仿宋" w:hAnsi="仿宋" w:eastAsia="仿宋"/>
          <w:sz w:val="32"/>
          <w:szCs w:val="32"/>
        </w:rPr>
        <w:t>9.排查占用永久基本农田种植苗木、草皮等用于绿化装饰以及种植其他破坏耕作层的植物问题，排查占用永久基本农田从事林果业生产经营以及挖塘养鱼、非法取土等破坏耕作层问题，排查闲置、荒芜永久基本农田问题。(牵头部门：长春市规划和自然资源局二道分局，配合部门：长春市二道区农业农村局)</w:t>
      </w:r>
    </w:p>
    <w:p>
      <w:pPr>
        <w:ind w:firstLine="640" w:firstLineChars="200"/>
        <w:rPr>
          <w:rFonts w:ascii="仿宋" w:hAnsi="仿宋" w:eastAsia="仿宋"/>
          <w:sz w:val="32"/>
          <w:szCs w:val="32"/>
        </w:rPr>
      </w:pPr>
      <w:r>
        <w:rPr>
          <w:rFonts w:hint="eastAsia" w:ascii="仿宋" w:hAnsi="仿宋" w:eastAsia="仿宋"/>
          <w:sz w:val="32"/>
          <w:szCs w:val="32"/>
        </w:rPr>
        <w:t>10.排查违规占用耕地及永久基本农田绿化造林问题。违规占用耕地及永久基本农田造林的，不予核实造林面积，不享受财政资金补助政策。(牵头部门：长春市二道区林业局，配合部门：长春市规划和自然资源局二道分局)</w:t>
      </w:r>
    </w:p>
    <w:p>
      <w:pPr>
        <w:ind w:firstLine="640" w:firstLineChars="200"/>
        <w:rPr>
          <w:rFonts w:ascii="仿宋" w:hAnsi="仿宋" w:eastAsia="仿宋"/>
          <w:sz w:val="32"/>
          <w:szCs w:val="32"/>
        </w:rPr>
      </w:pPr>
      <w:r>
        <w:rPr>
          <w:rFonts w:hint="eastAsia" w:ascii="仿宋" w:hAnsi="仿宋" w:eastAsia="仿宋"/>
          <w:sz w:val="32"/>
          <w:szCs w:val="32"/>
        </w:rPr>
        <w:t>11.排查超标准建设绿色通道问题，排查铁路、国道省道（含高速公路）、县乡道路两侧用地范围以外占用耕地及永久基本农田超标准建设绿色带问题，严格控制铁路、公路两侧用地范围以外绿化带用地审批，道路沿线是耕地的，两侧用地范围以外绿化带宽度不得超过5米，其中县乡道路不得超过3米。铁路、国道、省道（含高速公路）、县、乡道路两侧用地范围以外违规占用耕地超标准建设绿化带，必须立即停止。排查在河渠两侧、水库周边占用耕地及永久基本农田超标准建设绿色通道问题。(牵头部门：长春市二道区林业局，配合部门：长春市规划和自然资源局二道分局、交通运输主管部门)</w:t>
      </w:r>
    </w:p>
    <w:p>
      <w:pPr>
        <w:ind w:firstLine="640" w:firstLineChars="200"/>
        <w:rPr>
          <w:rFonts w:ascii="黑体" w:hAnsi="黑体" w:eastAsia="黑体"/>
          <w:sz w:val="32"/>
          <w:szCs w:val="32"/>
        </w:rPr>
      </w:pPr>
      <w:r>
        <w:rPr>
          <w:rFonts w:hint="eastAsia" w:ascii="黑体" w:hAnsi="黑体" w:eastAsia="黑体"/>
          <w:sz w:val="32"/>
          <w:szCs w:val="32"/>
        </w:rPr>
        <w:t>二、工作步骤</w:t>
      </w:r>
    </w:p>
    <w:p>
      <w:pPr>
        <w:spacing w:line="360" w:lineRule="auto"/>
        <w:ind w:firstLine="585"/>
        <w:rPr>
          <w:rFonts w:ascii="仿宋" w:hAnsi="仿宋" w:eastAsia="仿宋"/>
          <w:sz w:val="32"/>
          <w:szCs w:val="32"/>
        </w:rPr>
      </w:pPr>
      <w:r>
        <w:rPr>
          <w:rFonts w:hint="eastAsia" w:ascii="楷体" w:hAnsi="楷体" w:eastAsia="楷体"/>
          <w:sz w:val="32"/>
          <w:szCs w:val="32"/>
        </w:rPr>
        <w:t>（一）全面开展清理排查。</w:t>
      </w:r>
      <w:r>
        <w:rPr>
          <w:rFonts w:hint="eastAsia" w:ascii="仿宋" w:hAnsi="仿宋" w:eastAsia="仿宋"/>
          <w:sz w:val="32"/>
          <w:szCs w:val="32"/>
        </w:rPr>
        <w:t>各乡镇（街道）、村组要精心组织安排，明确责任分工，强化部门横向联动，按照摸排行动要求，充分结合年度卫片执法检查、遥感影像资料、永久基本农田数据库成果、第三次国土调查成果、土地利用年度变更调查、林业“一张图”等组织相关部门采用内业分析、外业核实等手段，围绕清理排查11项内容在辖区内开展全面清理自查。</w:t>
      </w:r>
    </w:p>
    <w:p>
      <w:pPr>
        <w:spacing w:line="360" w:lineRule="auto"/>
        <w:ind w:firstLine="585"/>
        <w:rPr>
          <w:rFonts w:ascii="仿宋" w:hAnsi="仿宋" w:eastAsia="仿宋"/>
          <w:sz w:val="32"/>
          <w:szCs w:val="32"/>
        </w:rPr>
      </w:pPr>
      <w:r>
        <w:rPr>
          <w:rFonts w:hint="eastAsia" w:ascii="楷体" w:hAnsi="楷体" w:eastAsia="楷体"/>
          <w:sz w:val="32"/>
          <w:szCs w:val="32"/>
        </w:rPr>
        <w:t>（二）核实清理排查成果。</w:t>
      </w:r>
      <w:r>
        <w:rPr>
          <w:rFonts w:hint="eastAsia" w:ascii="仿宋" w:hAnsi="仿宋" w:eastAsia="仿宋"/>
          <w:sz w:val="32"/>
          <w:szCs w:val="32"/>
        </w:rPr>
        <w:t>针对疑似图斑开展逐项逐条外业核查，以乡镇（街道）、村组为单位，根据问题产生的性质、类型和时间节点，据实建立问题台账，逐一审核复核，提出分类稳妥处置建议，实行“销号”制度，形成自查清理报告及坚决制止耕地“非农化”行为防止耕地“非粮化”清理排查统计表。</w:t>
      </w:r>
    </w:p>
    <w:p>
      <w:pPr>
        <w:spacing w:line="360" w:lineRule="auto"/>
        <w:ind w:firstLine="585"/>
        <w:rPr>
          <w:rFonts w:ascii="仿宋" w:hAnsi="仿宋" w:eastAsia="仿宋"/>
          <w:sz w:val="32"/>
          <w:szCs w:val="32"/>
        </w:rPr>
      </w:pPr>
      <w:r>
        <w:rPr>
          <w:rFonts w:hint="eastAsia" w:ascii="楷体" w:hAnsi="楷体" w:eastAsia="楷体"/>
          <w:sz w:val="32"/>
          <w:szCs w:val="32"/>
        </w:rPr>
        <w:t>（三）上报市级审核。</w:t>
      </w:r>
      <w:r>
        <w:rPr>
          <w:rFonts w:hint="eastAsia" w:ascii="仿宋" w:hAnsi="仿宋" w:eastAsia="仿宋"/>
          <w:sz w:val="32"/>
          <w:szCs w:val="32"/>
        </w:rPr>
        <w:t>摸排成果及处置建议经乡镇（街道）主要负责同志签字后，于6月15日前上报区耕地“非农化”“非粮化”</w:t>
      </w:r>
      <w:r>
        <w:rPr>
          <w:rFonts w:eastAsia="FangSong_GB2312"/>
          <w:kern w:val="0"/>
          <w:sz w:val="32"/>
          <w:szCs w:val="32"/>
        </w:rPr>
        <w:t>集中清理整治行动</w:t>
      </w:r>
      <w:r>
        <w:rPr>
          <w:rFonts w:hint="eastAsia" w:eastAsia="FangSong_GB2312"/>
          <w:kern w:val="0"/>
          <w:sz w:val="32"/>
          <w:szCs w:val="32"/>
        </w:rPr>
        <w:t>领导小组</w:t>
      </w:r>
      <w:r>
        <w:rPr>
          <w:rFonts w:hint="eastAsia" w:ascii="仿宋" w:hAnsi="仿宋" w:eastAsia="仿宋"/>
          <w:sz w:val="32"/>
          <w:szCs w:val="32"/>
        </w:rPr>
        <w:t>逐一审核，并进行实地抽查复核，审核通过后上报市局。</w:t>
      </w:r>
    </w:p>
    <w:p>
      <w:pPr>
        <w:pStyle w:val="4"/>
        <w:spacing w:before="0" w:beforeAutospacing="0" w:after="0" w:afterAutospacing="0" w:line="600" w:lineRule="exact"/>
        <w:ind w:firstLine="640" w:firstLineChars="200"/>
        <w:jc w:val="both"/>
        <w:rPr>
          <w:rFonts w:ascii="仿宋" w:hAnsi="仿宋" w:eastAsia="仿宋" w:cstheme="minorBidi"/>
          <w:kern w:val="2"/>
          <w:sz w:val="32"/>
          <w:szCs w:val="32"/>
        </w:rPr>
      </w:pPr>
      <w:r>
        <w:rPr>
          <w:rFonts w:hint="eastAsia" w:ascii="黑体" w:hAnsi="黑体" w:eastAsia="黑体"/>
          <w:sz w:val="32"/>
          <w:szCs w:val="32"/>
        </w:rPr>
        <w:t>三、相关要求</w:t>
      </w:r>
    </w:p>
    <w:p>
      <w:pPr>
        <w:pStyle w:val="4"/>
        <w:spacing w:before="0" w:beforeAutospacing="0" w:after="0" w:afterAutospacing="0" w:line="600" w:lineRule="exact"/>
        <w:ind w:firstLine="640" w:firstLineChars="200"/>
        <w:jc w:val="both"/>
        <w:rPr>
          <w:rFonts w:ascii="仿宋" w:hAnsi="仿宋" w:eastAsia="仿宋" w:cstheme="minorBidi"/>
          <w:kern w:val="2"/>
          <w:sz w:val="32"/>
          <w:szCs w:val="32"/>
        </w:rPr>
      </w:pPr>
      <w:r>
        <w:rPr>
          <w:rFonts w:hint="eastAsia" w:ascii="楷体" w:hAnsi="楷体" w:eastAsia="楷体" w:cstheme="minorBidi"/>
          <w:kern w:val="2"/>
          <w:sz w:val="32"/>
          <w:szCs w:val="32"/>
        </w:rPr>
        <w:t>（一）强化组织领导。</w:t>
      </w:r>
      <w:r>
        <w:rPr>
          <w:rFonts w:hint="eastAsia" w:ascii="仿宋" w:hAnsi="仿宋" w:eastAsia="仿宋" w:cstheme="minorBidi"/>
          <w:kern w:val="2"/>
          <w:sz w:val="32"/>
          <w:szCs w:val="32"/>
        </w:rPr>
        <w:t>各</w:t>
      </w:r>
      <w:r>
        <w:rPr>
          <w:rFonts w:hint="eastAsia" w:ascii="仿宋" w:hAnsi="仿宋" w:eastAsia="仿宋"/>
          <w:sz w:val="32"/>
          <w:szCs w:val="32"/>
        </w:rPr>
        <w:t>乡镇（街道）、村组</w:t>
      </w:r>
      <w:r>
        <w:rPr>
          <w:rFonts w:hint="eastAsia" w:ascii="仿宋" w:hAnsi="仿宋" w:eastAsia="仿宋" w:cstheme="minorBidi"/>
          <w:kern w:val="2"/>
          <w:sz w:val="32"/>
          <w:szCs w:val="32"/>
        </w:rPr>
        <w:t>要严格落实耕地保护主体责任，成立组织机构，按照本方案要求，抓紧制定实施方案，细化摸排措施，全面开展清理排查。各</w:t>
      </w:r>
      <w:r>
        <w:rPr>
          <w:rFonts w:hint="eastAsia" w:ascii="仿宋" w:hAnsi="仿宋" w:eastAsia="仿宋"/>
          <w:sz w:val="32"/>
          <w:szCs w:val="32"/>
        </w:rPr>
        <w:t>乡镇（街道）、村组</w:t>
      </w:r>
      <w:r>
        <w:rPr>
          <w:rFonts w:hint="eastAsia" w:ascii="仿宋" w:hAnsi="仿宋" w:eastAsia="仿宋" w:cstheme="minorBidi"/>
          <w:kern w:val="2"/>
          <w:sz w:val="32"/>
          <w:szCs w:val="32"/>
        </w:rPr>
        <w:t>主要负责同志是第一责任人，具体负责清理排查行动组织落实，把清理排查任务和责任逐级落实，切实把各项任务落到实处，确保清理排查行动取得实效。</w:t>
      </w:r>
    </w:p>
    <w:p>
      <w:pPr>
        <w:spacing w:line="600" w:lineRule="exact"/>
        <w:ind w:firstLine="585"/>
        <w:rPr>
          <w:rFonts w:ascii="仿宋" w:hAnsi="仿宋" w:eastAsia="仿宋"/>
          <w:sz w:val="32"/>
          <w:szCs w:val="32"/>
        </w:rPr>
      </w:pPr>
      <w:r>
        <w:rPr>
          <w:rFonts w:hint="eastAsia" w:ascii="楷体" w:hAnsi="楷体" w:eastAsia="楷体"/>
          <w:sz w:val="32"/>
          <w:szCs w:val="32"/>
        </w:rPr>
        <w:t>（二）加强协作配合。</w:t>
      </w:r>
      <w:r>
        <w:rPr>
          <w:rFonts w:hint="eastAsia" w:ascii="仿宋" w:hAnsi="仿宋" w:eastAsia="仿宋"/>
          <w:sz w:val="32"/>
          <w:szCs w:val="32"/>
        </w:rPr>
        <w:t>此次清理摸排行动，由二道区规划和自然资源、农业农村、林业局共同负责，涉及交通、水利、市场监管等有关部门要积极参与配合，加强上下联动、横向协调，形成工作合力，按各自职责统筹协调推进、抓好排查。</w:t>
      </w:r>
    </w:p>
    <w:p>
      <w:pPr>
        <w:pStyle w:val="4"/>
        <w:spacing w:before="0" w:beforeAutospacing="0" w:after="0" w:afterAutospacing="0" w:line="600" w:lineRule="exact"/>
        <w:ind w:firstLine="640" w:firstLineChars="200"/>
        <w:jc w:val="both"/>
        <w:rPr>
          <w:rFonts w:ascii="仿宋" w:hAnsi="仿宋" w:eastAsia="仿宋" w:cstheme="minorBidi"/>
          <w:kern w:val="2"/>
          <w:sz w:val="32"/>
          <w:szCs w:val="32"/>
        </w:rPr>
      </w:pPr>
      <w:r>
        <w:rPr>
          <w:rFonts w:hint="eastAsia" w:ascii="楷体" w:hAnsi="楷体" w:eastAsia="楷体" w:cstheme="minorBidi"/>
          <w:kern w:val="2"/>
          <w:sz w:val="32"/>
          <w:szCs w:val="32"/>
        </w:rPr>
        <w:t>（三）强化宣传引导。</w:t>
      </w:r>
      <w:r>
        <w:rPr>
          <w:rFonts w:hint="eastAsia" w:ascii="仿宋" w:hAnsi="仿宋" w:eastAsia="仿宋"/>
          <w:sz w:val="32"/>
          <w:szCs w:val="32"/>
        </w:rPr>
        <w:t>要</w:t>
      </w:r>
      <w:r>
        <w:rPr>
          <w:rFonts w:hint="eastAsia" w:ascii="仿宋" w:hAnsi="仿宋" w:eastAsia="仿宋" w:cstheme="minorBidi"/>
          <w:kern w:val="2"/>
          <w:sz w:val="32"/>
          <w:szCs w:val="32"/>
        </w:rPr>
        <w:t>做好</w:t>
      </w:r>
      <w:r>
        <w:rPr>
          <w:rFonts w:hint="eastAsia" w:ascii="仿宋" w:hAnsi="仿宋" w:eastAsia="仿宋"/>
          <w:sz w:val="32"/>
          <w:szCs w:val="32"/>
        </w:rPr>
        <w:t>坚决制止耕地“非农化”</w:t>
      </w:r>
      <w:r>
        <w:rPr>
          <w:rFonts w:hint="eastAsia" w:ascii="仿宋" w:hAnsi="仿宋" w:eastAsia="仿宋" w:cstheme="minorBidi"/>
          <w:kern w:val="2"/>
          <w:sz w:val="32"/>
          <w:szCs w:val="32"/>
        </w:rPr>
        <w:t>防止耕地“非粮化”</w:t>
      </w:r>
      <w:r>
        <w:rPr>
          <w:rFonts w:hint="eastAsia" w:ascii="仿宋" w:hAnsi="仿宋" w:eastAsia="仿宋"/>
          <w:sz w:val="32"/>
          <w:szCs w:val="32"/>
        </w:rPr>
        <w:t>舆论宣传，</w:t>
      </w:r>
      <w:r>
        <w:rPr>
          <w:rFonts w:hint="eastAsia" w:ascii="仿宋" w:hAnsi="仿宋" w:eastAsia="仿宋" w:cstheme="minorBidi"/>
          <w:kern w:val="2"/>
          <w:sz w:val="32"/>
          <w:szCs w:val="32"/>
        </w:rPr>
        <w:t>营造保护耕地、稳定粮食生产的良好氛围。加强典型宣传推介，推广保护耕地先进经验做法，引导种粮主体和农户积极发展粮食生产。</w:t>
      </w:r>
    </w:p>
    <w:p>
      <w:pPr>
        <w:pStyle w:val="4"/>
        <w:spacing w:before="0" w:beforeAutospacing="0" w:after="0" w:afterAutospacing="0" w:line="60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 xml:space="preserve">        </w:t>
      </w:r>
    </w:p>
    <w:p>
      <w:pPr>
        <w:pStyle w:val="4"/>
        <w:spacing w:before="0" w:beforeAutospacing="0" w:after="0" w:afterAutospacing="0" w:line="600" w:lineRule="exact"/>
        <w:ind w:firstLine="640" w:firstLineChars="200"/>
        <w:jc w:val="both"/>
        <w:rPr>
          <w:rFonts w:ascii="仿宋" w:hAnsi="仿宋" w:eastAsia="仿宋" w:cstheme="minorBidi"/>
          <w:kern w:val="2"/>
          <w:sz w:val="32"/>
          <w:szCs w:val="32"/>
        </w:rPr>
      </w:pPr>
      <w:r>
        <w:rPr>
          <w:rFonts w:hint="eastAsia" w:ascii="仿宋" w:hAnsi="仿宋" w:eastAsia="仿宋" w:cstheme="minorBidi"/>
          <w:kern w:val="2"/>
          <w:sz w:val="32"/>
          <w:szCs w:val="32"/>
        </w:rPr>
        <w:t xml:space="preserve">                           </w:t>
      </w:r>
      <w:bookmarkStart w:id="0" w:name="_GoBack"/>
      <w:bookmarkEnd w:id="0"/>
    </w:p>
    <w:p>
      <w:pPr>
        <w:pStyle w:val="4"/>
        <w:spacing w:before="0" w:beforeAutospacing="0" w:after="0" w:afterAutospacing="0" w:line="600" w:lineRule="exact"/>
        <w:ind w:firstLine="640" w:firstLineChars="200"/>
        <w:jc w:val="both"/>
        <w:rPr>
          <w:rFonts w:ascii="仿宋" w:hAnsi="仿宋" w:eastAsia="仿宋" w:cstheme="minorBidi"/>
          <w:kern w:val="2"/>
          <w:sz w:val="32"/>
          <w:szCs w:val="32"/>
        </w:rPr>
      </w:pPr>
    </w:p>
    <w:p>
      <w:pPr>
        <w:pStyle w:val="4"/>
        <w:spacing w:before="0" w:beforeAutospacing="0" w:after="0" w:afterAutospacing="0" w:line="600" w:lineRule="exact"/>
        <w:ind w:firstLine="640" w:firstLineChars="200"/>
        <w:jc w:val="both"/>
        <w:rPr>
          <w:rFonts w:ascii="仿宋" w:hAnsi="仿宋" w:eastAsia="仿宋" w:cstheme="minorBidi"/>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420F"/>
    <w:rsid w:val="000664A2"/>
    <w:rsid w:val="00080A42"/>
    <w:rsid w:val="00082439"/>
    <w:rsid w:val="00092EEF"/>
    <w:rsid w:val="000968E9"/>
    <w:rsid w:val="000A759A"/>
    <w:rsid w:val="000E7541"/>
    <w:rsid w:val="00102C7A"/>
    <w:rsid w:val="00165D16"/>
    <w:rsid w:val="001C2EDF"/>
    <w:rsid w:val="001C4E1A"/>
    <w:rsid w:val="00215DE6"/>
    <w:rsid w:val="002319C6"/>
    <w:rsid w:val="002410F5"/>
    <w:rsid w:val="002468D3"/>
    <w:rsid w:val="002500B7"/>
    <w:rsid w:val="00265213"/>
    <w:rsid w:val="0027681D"/>
    <w:rsid w:val="00282480"/>
    <w:rsid w:val="00294A10"/>
    <w:rsid w:val="002C04D3"/>
    <w:rsid w:val="002F5ED6"/>
    <w:rsid w:val="00312A5A"/>
    <w:rsid w:val="003379DF"/>
    <w:rsid w:val="00342D93"/>
    <w:rsid w:val="003816D0"/>
    <w:rsid w:val="00396E43"/>
    <w:rsid w:val="003A1469"/>
    <w:rsid w:val="003A7E36"/>
    <w:rsid w:val="003D33EF"/>
    <w:rsid w:val="00407E72"/>
    <w:rsid w:val="00451F67"/>
    <w:rsid w:val="004700F3"/>
    <w:rsid w:val="004B6B3B"/>
    <w:rsid w:val="004E24D6"/>
    <w:rsid w:val="004F2E4C"/>
    <w:rsid w:val="00573B80"/>
    <w:rsid w:val="00594436"/>
    <w:rsid w:val="005E293A"/>
    <w:rsid w:val="00665BDF"/>
    <w:rsid w:val="00675BEA"/>
    <w:rsid w:val="006B0EC3"/>
    <w:rsid w:val="006D3CEF"/>
    <w:rsid w:val="00726FCA"/>
    <w:rsid w:val="0073013A"/>
    <w:rsid w:val="007524EB"/>
    <w:rsid w:val="007720F1"/>
    <w:rsid w:val="0079291F"/>
    <w:rsid w:val="007C564A"/>
    <w:rsid w:val="00803909"/>
    <w:rsid w:val="008338D2"/>
    <w:rsid w:val="008478BA"/>
    <w:rsid w:val="008746E0"/>
    <w:rsid w:val="008752A6"/>
    <w:rsid w:val="0088385B"/>
    <w:rsid w:val="008955D0"/>
    <w:rsid w:val="008D048D"/>
    <w:rsid w:val="008E24D0"/>
    <w:rsid w:val="00921994"/>
    <w:rsid w:val="00922258"/>
    <w:rsid w:val="0092560B"/>
    <w:rsid w:val="0093604D"/>
    <w:rsid w:val="009451B3"/>
    <w:rsid w:val="009A0676"/>
    <w:rsid w:val="009A107B"/>
    <w:rsid w:val="009A13A2"/>
    <w:rsid w:val="009B5A78"/>
    <w:rsid w:val="009F06B4"/>
    <w:rsid w:val="00A04DE2"/>
    <w:rsid w:val="00A31B05"/>
    <w:rsid w:val="00A864F1"/>
    <w:rsid w:val="00AA3E5C"/>
    <w:rsid w:val="00AC5545"/>
    <w:rsid w:val="00AE3F48"/>
    <w:rsid w:val="00AF29F2"/>
    <w:rsid w:val="00B013BE"/>
    <w:rsid w:val="00B46847"/>
    <w:rsid w:val="00B55F9D"/>
    <w:rsid w:val="00B655A8"/>
    <w:rsid w:val="00B9245B"/>
    <w:rsid w:val="00BA30C6"/>
    <w:rsid w:val="00BD695C"/>
    <w:rsid w:val="00BF61E6"/>
    <w:rsid w:val="00C41343"/>
    <w:rsid w:val="00C41B95"/>
    <w:rsid w:val="00C75D4F"/>
    <w:rsid w:val="00C96FE9"/>
    <w:rsid w:val="00C97148"/>
    <w:rsid w:val="00CB7068"/>
    <w:rsid w:val="00CC7144"/>
    <w:rsid w:val="00CD3602"/>
    <w:rsid w:val="00CD5CB4"/>
    <w:rsid w:val="00CE167E"/>
    <w:rsid w:val="00D42E4A"/>
    <w:rsid w:val="00D5236C"/>
    <w:rsid w:val="00D543D8"/>
    <w:rsid w:val="00D661FE"/>
    <w:rsid w:val="00DA1062"/>
    <w:rsid w:val="00DC502B"/>
    <w:rsid w:val="00E277D5"/>
    <w:rsid w:val="00E35226"/>
    <w:rsid w:val="00E50916"/>
    <w:rsid w:val="00E752DD"/>
    <w:rsid w:val="00E95E7D"/>
    <w:rsid w:val="00EA11B6"/>
    <w:rsid w:val="00EB4C14"/>
    <w:rsid w:val="00ED75BA"/>
    <w:rsid w:val="00F0420F"/>
    <w:rsid w:val="00F05DE5"/>
    <w:rsid w:val="00F151F0"/>
    <w:rsid w:val="00F562C6"/>
    <w:rsid w:val="00F82634"/>
    <w:rsid w:val="00FF0D1E"/>
    <w:rsid w:val="3AAA7139"/>
    <w:rsid w:val="41255B52"/>
    <w:rsid w:val="610564E7"/>
    <w:rsid w:val="64B56C0E"/>
    <w:rsid w:val="68A22FD2"/>
    <w:rsid w:val="6EE11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E399A-49FF-410C-A0EE-F4838617A9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446</Words>
  <Characters>2545</Characters>
  <Lines>21</Lines>
  <Paragraphs>5</Paragraphs>
  <TotalTime>4</TotalTime>
  <ScaleCrop>false</ScaleCrop>
  <LinksUpToDate>false</LinksUpToDate>
  <CharactersWithSpaces>2986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2021-03-02T02:28:00Z</dcterms:created>
  <dc:creator>Administrator</dc:creator>
  <cp:lastModifiedBy>傻傻</cp:lastModifiedBy>
  <cp:lastPrinted>2021-03-02T01:58:00Z</cp:lastPrinted>
  <dcterms:modified xsi:type="dcterms:W3CDTF">2021-10-15T06:36:54Z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86D22096B7EC47AFBF3E0E71C4C34B08</vt:lpwstr>
  </property>
</Properties>
</file>