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480" w:lineRule="atLeast"/>
        <w:ind w:firstLine="480"/>
        <w:jc w:val="center"/>
        <w:rPr>
          <w:rFonts w:hint="eastAsia" w:ascii="方正小标宋简体" w:hAnsi="仿宋" w:eastAsia="方正小标宋简体"/>
          <w:color w:val="000000"/>
          <w:sz w:val="44"/>
          <w:szCs w:val="44"/>
        </w:rPr>
      </w:pPr>
      <w:r>
        <w:rPr>
          <w:rFonts w:hint="eastAsia" w:ascii="方正小标宋简体" w:hAnsi="仿宋" w:eastAsia="方正小标宋简体"/>
          <w:color w:val="000000"/>
          <w:sz w:val="44"/>
          <w:szCs w:val="44"/>
        </w:rPr>
        <w:t>二道区建设用地占用耕地表土剥离工作</w:t>
      </w:r>
    </w:p>
    <w:p>
      <w:pPr>
        <w:jc w:val="center"/>
        <w:rPr>
          <w:rFonts w:hint="eastAsia" w:ascii="方正小标宋简体" w:hAnsi="仿宋" w:eastAsia="方正小标宋简体"/>
          <w:color w:val="000000"/>
          <w:sz w:val="44"/>
          <w:szCs w:val="44"/>
          <w:lang w:eastAsia="zh-CN"/>
        </w:rPr>
      </w:pPr>
      <w:r>
        <w:rPr>
          <w:rFonts w:hint="eastAsia" w:ascii="方正小标宋简体" w:hAnsi="仿宋" w:eastAsia="方正小标宋简体"/>
          <w:color w:val="000000"/>
          <w:sz w:val="44"/>
          <w:szCs w:val="44"/>
        </w:rPr>
        <w:t>实施办法</w:t>
      </w:r>
      <w:r>
        <w:rPr>
          <w:rFonts w:hint="eastAsia" w:ascii="方正小标宋简体" w:hAnsi="仿宋" w:eastAsia="方正小标宋简体"/>
          <w:color w:val="000000"/>
          <w:sz w:val="44"/>
          <w:szCs w:val="44"/>
          <w:lang w:eastAsia="zh-CN"/>
        </w:rPr>
        <w:t>政策解读</w:t>
      </w:r>
    </w:p>
    <w:p>
      <w:pPr>
        <w:jc w:val="center"/>
        <w:rPr>
          <w:rFonts w:hint="eastAsia" w:ascii="方正小标宋简体" w:hAnsi="仿宋" w:eastAsia="方正小标宋简体"/>
          <w:color w:val="000000"/>
          <w:sz w:val="44"/>
          <w:szCs w:val="44"/>
          <w:lang w:eastAsia="zh-CN"/>
        </w:rPr>
      </w:pPr>
    </w:p>
    <w:p>
      <w:pPr>
        <w:numPr>
          <w:ilvl w:val="0"/>
          <w:numId w:val="1"/>
        </w:numPr>
        <w:ind w:left="410" w:leftChars="0" w:firstLine="640" w:firstLineChars="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解读方案要点</w:t>
      </w:r>
    </w:p>
    <w:p>
      <w:pPr>
        <w:ind w:firstLine="643" w:firstLineChars="200"/>
        <w:jc w:val="both"/>
        <w:rPr>
          <w:rFonts w:hint="eastAsia" w:ascii="仿宋" w:hAnsi="仿宋" w:eastAsia="仿宋"/>
          <w:color w:val="000000"/>
          <w:sz w:val="32"/>
          <w:szCs w:val="32"/>
          <w:lang w:eastAsia="zh-CN"/>
        </w:rPr>
      </w:pPr>
      <w:r>
        <w:rPr>
          <w:rFonts w:hint="eastAsia" w:ascii="仿宋_GB2312" w:hAnsi="仿宋_GB2312" w:eastAsia="仿宋_GB2312" w:cs="仿宋_GB2312"/>
          <w:b/>
          <w:bCs/>
          <w:sz w:val="32"/>
          <w:szCs w:val="32"/>
          <w:lang w:val="en-US" w:eastAsia="zh-CN"/>
        </w:rPr>
        <w:t>办法制定背景：</w:t>
      </w:r>
      <w:r>
        <w:rPr>
          <w:rFonts w:hint="eastAsia" w:ascii="仿宋" w:hAnsi="仿宋" w:eastAsia="仿宋"/>
          <w:color w:val="000000"/>
          <w:sz w:val="32"/>
          <w:szCs w:val="32"/>
        </w:rPr>
        <w:t>为切实加强土地资源的保护和利用，提高耕地的质量，根据</w:t>
      </w:r>
      <w:r>
        <w:rPr>
          <w:rFonts w:hint="eastAsia" w:ascii="仿宋" w:hAnsi="仿宋" w:eastAsia="仿宋"/>
          <w:sz w:val="32"/>
          <w:szCs w:val="32"/>
        </w:rPr>
        <w:t>《吉林省黑土地保护条例》《吉林省自然资源厅、吉林省农业厅关于印发〈吉林省建设用地占用耕地表土剥离工作管理办法〉（试行）的通知》</w:t>
      </w:r>
      <w:r>
        <w:rPr>
          <w:rFonts w:hint="eastAsia" w:ascii="仿宋" w:hAnsi="仿宋" w:eastAsia="仿宋"/>
          <w:color w:val="000000"/>
          <w:sz w:val="32"/>
          <w:szCs w:val="32"/>
        </w:rPr>
        <w:t>等政策法规要求，结合我区实际，特制定本实施办法</w:t>
      </w:r>
      <w:r>
        <w:rPr>
          <w:rFonts w:hint="eastAsia" w:ascii="仿宋" w:hAnsi="仿宋" w:eastAsia="仿宋"/>
          <w:color w:val="000000"/>
          <w:sz w:val="32"/>
          <w:szCs w:val="32"/>
          <w:lang w:eastAsia="zh-CN"/>
        </w:rPr>
        <w:t>。</w:t>
      </w:r>
    </w:p>
    <w:p>
      <w:pPr>
        <w:pStyle w:val="2"/>
        <w:spacing w:before="0" w:beforeAutospacing="0" w:after="0" w:afterAutospacing="0" w:line="480" w:lineRule="atLeast"/>
        <w:ind w:firstLine="643" w:firstLineChars="200"/>
        <w:rPr>
          <w:rFonts w:hint="eastAsia" w:ascii="仿宋" w:hAnsi="仿宋" w:eastAsia="仿宋"/>
          <w:color w:val="000000"/>
          <w:sz w:val="32"/>
          <w:szCs w:val="32"/>
        </w:rPr>
      </w:pPr>
      <w:r>
        <w:rPr>
          <w:rFonts w:hint="eastAsia" w:ascii="仿宋_GB2312" w:hAnsi="仿宋_GB2312" w:eastAsia="仿宋_GB2312" w:cs="仿宋_GB2312"/>
          <w:b/>
          <w:bCs/>
          <w:sz w:val="32"/>
          <w:szCs w:val="32"/>
          <w:lang w:val="en-US" w:eastAsia="zh-CN"/>
        </w:rPr>
        <w:t>开展此项工作重要意义：</w:t>
      </w:r>
      <w:r>
        <w:rPr>
          <w:rFonts w:hint="eastAsia" w:ascii="仿宋" w:hAnsi="仿宋" w:eastAsia="仿宋"/>
          <w:color w:val="000000"/>
          <w:sz w:val="32"/>
          <w:szCs w:val="32"/>
        </w:rPr>
        <w:t>开展建设占用耕地耕作层剥离工作（以下简称“表土剥离工作”）是新形势下进一步加强土地资源保护、提高新增耕地质量的重要举措，是利在当前、惠及子孙的实事工程。相关部门和各街镇要充分认识到表土剥离工作的重要性和必要性，加强领导、明确分工、落实责任，切实采取有效措施，在全区范围内，实现耕作层“应剥尽剥，能覆尽覆”。</w:t>
      </w:r>
    </w:p>
    <w:p>
      <w:pPr>
        <w:pStyle w:val="2"/>
        <w:spacing w:before="0" w:beforeAutospacing="0" w:after="0" w:afterAutospacing="0" w:line="480" w:lineRule="atLeas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建设占用耕地表土剥离工作是指采取工程手段，对建设占用耕地的优质表土层进行剥离，并将其用于土地整治项目的表层覆土或低产田土壤改良等工作。</w:t>
      </w:r>
    </w:p>
    <w:p>
      <w:pPr>
        <w:pStyle w:val="2"/>
        <w:numPr>
          <w:ilvl w:val="0"/>
          <w:numId w:val="1"/>
        </w:numPr>
        <w:spacing w:before="0" w:beforeAutospacing="0" w:after="0" w:afterAutospacing="0" w:line="480" w:lineRule="atLeast"/>
        <w:ind w:left="410" w:leftChars="0" w:firstLine="640" w:firstLineChars="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组织机构</w:t>
      </w:r>
    </w:p>
    <w:p>
      <w:pPr>
        <w:pStyle w:val="2"/>
        <w:spacing w:before="0" w:beforeAutospacing="0" w:after="0" w:afterAutospacing="0" w:line="480" w:lineRule="atLeast"/>
        <w:ind w:firstLine="480"/>
        <w:rPr>
          <w:rFonts w:hint="eastAsia" w:ascii="仿宋" w:hAnsi="仿宋" w:eastAsia="仿宋"/>
          <w:color w:val="000000"/>
          <w:sz w:val="32"/>
          <w:szCs w:val="32"/>
        </w:rPr>
      </w:pP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区政府成立</w:t>
      </w:r>
      <w:r>
        <w:rPr>
          <w:rFonts w:hint="eastAsia" w:ascii="仿宋" w:hAnsi="仿宋" w:eastAsia="仿宋"/>
          <w:sz w:val="32"/>
          <w:szCs w:val="32"/>
        </w:rPr>
        <w:t>建设用地占用耕地表土剥离工作</w:t>
      </w:r>
      <w:r>
        <w:rPr>
          <w:rFonts w:hint="eastAsia" w:ascii="仿宋" w:hAnsi="仿宋" w:eastAsia="仿宋"/>
          <w:color w:val="000000"/>
          <w:sz w:val="32"/>
          <w:szCs w:val="32"/>
        </w:rPr>
        <w:t>领导小组，领导小组下设办公室，办公室设在长春市规划和自然资源局二道分局，办公室负责全区表土剥离工作，协调全区表土剥离规划设计制定、工作指导和监督验收等工作。</w:t>
      </w:r>
    </w:p>
    <w:p>
      <w:pPr>
        <w:pStyle w:val="2"/>
        <w:numPr>
          <w:ilvl w:val="0"/>
          <w:numId w:val="1"/>
        </w:numPr>
        <w:spacing w:before="0" w:beforeAutospacing="0" w:after="0" w:afterAutospacing="0" w:line="480" w:lineRule="atLeast"/>
        <w:ind w:left="410" w:leftChars="0" w:firstLine="640" w:firstLineChars="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各部门职责分工</w:t>
      </w:r>
    </w:p>
    <w:p>
      <w:pPr>
        <w:pStyle w:val="2"/>
        <w:spacing w:before="0" w:beforeAutospacing="0" w:after="0" w:afterAutospacing="0" w:line="480" w:lineRule="atLeast"/>
        <w:ind w:firstLine="480"/>
        <w:rPr>
          <w:rFonts w:hint="eastAsia" w:ascii="仿宋" w:hAnsi="仿宋" w:eastAsia="仿宋"/>
          <w:color w:val="000000"/>
          <w:sz w:val="32"/>
          <w:szCs w:val="32"/>
        </w:rPr>
      </w:pPr>
      <w:r>
        <w:rPr>
          <w:rFonts w:hint="eastAsia" w:ascii="仿宋" w:hAnsi="仿宋" w:eastAsia="仿宋"/>
          <w:color w:val="000000"/>
          <w:sz w:val="32"/>
          <w:szCs w:val="32"/>
        </w:rPr>
        <w:t>各街镇：全面负责本辖区内表土剥离协调等各项工作。</w:t>
      </w:r>
    </w:p>
    <w:p>
      <w:pPr>
        <w:pStyle w:val="2"/>
        <w:spacing w:before="0" w:beforeAutospacing="0" w:after="0" w:afterAutospacing="0" w:line="480" w:lineRule="atLeas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规自分局：负责协调表土剥离工作方案审查、论证验收等工作</w:t>
      </w:r>
      <w:r>
        <w:rPr>
          <w:rFonts w:hint="eastAsia" w:ascii="微软雅黑" w:hAnsi="微软雅黑" w:eastAsia="仿宋"/>
          <w:color w:val="000000"/>
          <w:sz w:val="32"/>
          <w:szCs w:val="32"/>
        </w:rPr>
        <w:t> </w:t>
      </w:r>
      <w:r>
        <w:rPr>
          <w:rFonts w:hint="eastAsia" w:ascii="仿宋" w:hAnsi="仿宋" w:eastAsia="仿宋"/>
          <w:color w:val="000000"/>
          <w:sz w:val="32"/>
          <w:szCs w:val="32"/>
        </w:rPr>
        <w:t>。</w:t>
      </w:r>
    </w:p>
    <w:p>
      <w:pPr>
        <w:pStyle w:val="2"/>
        <w:spacing w:before="0" w:beforeAutospacing="0" w:after="0" w:afterAutospacing="0" w:line="480" w:lineRule="atLeast"/>
        <w:ind w:firstLine="480"/>
        <w:rPr>
          <w:rFonts w:hint="eastAsia" w:ascii="仿宋" w:hAnsi="仿宋" w:eastAsia="仿宋"/>
          <w:color w:val="000000"/>
          <w:sz w:val="32"/>
          <w:szCs w:val="32"/>
        </w:rPr>
      </w:pPr>
      <w:r>
        <w:rPr>
          <w:rFonts w:hint="eastAsia" w:ascii="仿宋" w:hAnsi="仿宋" w:eastAsia="仿宋"/>
          <w:color w:val="000000"/>
          <w:sz w:val="32"/>
          <w:szCs w:val="32"/>
        </w:rPr>
        <w:t>农业农村局：负责组织做好耕地土壤质量环境类别划分工作，并提供专业性技术指导。</w:t>
      </w:r>
    </w:p>
    <w:p>
      <w:pPr>
        <w:pStyle w:val="2"/>
        <w:spacing w:before="0" w:beforeAutospacing="0" w:after="0" w:afterAutospacing="0" w:line="480" w:lineRule="atLeast"/>
        <w:ind w:firstLine="480"/>
        <w:rPr>
          <w:rFonts w:hint="eastAsia" w:ascii="仿宋" w:hAnsi="仿宋" w:eastAsia="仿宋"/>
          <w:color w:val="000000"/>
          <w:sz w:val="32"/>
          <w:szCs w:val="32"/>
        </w:rPr>
      </w:pPr>
      <w:r>
        <w:rPr>
          <w:rFonts w:hint="eastAsia" w:ascii="仿宋" w:hAnsi="仿宋" w:eastAsia="仿宋"/>
          <w:color w:val="000000"/>
          <w:sz w:val="32"/>
          <w:szCs w:val="32"/>
        </w:rPr>
        <w:t>财政局：负责表土剥离与再利用工作所需经费；负责工作资金运行的监督指导工作。</w:t>
      </w:r>
    </w:p>
    <w:p>
      <w:pPr>
        <w:pStyle w:val="2"/>
        <w:spacing w:before="0" w:beforeAutospacing="0" w:after="0" w:afterAutospacing="0" w:line="480" w:lineRule="atLeast"/>
        <w:ind w:firstLine="480"/>
        <w:rPr>
          <w:rFonts w:hint="eastAsia" w:ascii="仿宋" w:hAnsi="仿宋" w:eastAsia="仿宋"/>
          <w:color w:val="000000"/>
          <w:sz w:val="32"/>
          <w:szCs w:val="32"/>
        </w:rPr>
      </w:pPr>
      <w:r>
        <w:rPr>
          <w:rFonts w:hint="eastAsia" w:ascii="仿宋" w:hAnsi="仿宋" w:eastAsia="仿宋"/>
          <w:color w:val="000000"/>
          <w:sz w:val="32"/>
          <w:szCs w:val="32"/>
        </w:rPr>
        <w:t>生态环境局：负责参与对耕作层土壤污染情况的认定工作、检查验收工作、耕作层运输、存放的监督管理工作。</w:t>
      </w:r>
    </w:p>
    <w:p>
      <w:pPr>
        <w:pStyle w:val="2"/>
        <w:spacing w:before="0" w:beforeAutospacing="0" w:after="0" w:afterAutospacing="0" w:line="480" w:lineRule="atLeast"/>
        <w:ind w:firstLine="480"/>
        <w:rPr>
          <w:rFonts w:hint="eastAsia" w:ascii="仿宋" w:hAnsi="仿宋" w:eastAsia="仿宋"/>
          <w:color w:val="000000"/>
          <w:sz w:val="32"/>
          <w:szCs w:val="32"/>
        </w:rPr>
      </w:pPr>
      <w:r>
        <w:rPr>
          <w:rFonts w:hint="eastAsia" w:ascii="仿宋" w:hAnsi="仿宋" w:eastAsia="仿宋"/>
          <w:color w:val="000000"/>
          <w:sz w:val="32"/>
          <w:szCs w:val="32"/>
        </w:rPr>
        <w:t>综合行政执法局：负责耕作层土壤运输中对影响市容环境卫生行为的监督管理工作及相关违法行为的查处工作。</w:t>
      </w:r>
    </w:p>
    <w:p>
      <w:pPr>
        <w:pStyle w:val="2"/>
        <w:spacing w:before="0" w:beforeAutospacing="0" w:after="0" w:afterAutospacing="0" w:line="480" w:lineRule="atLeast"/>
        <w:ind w:firstLine="480"/>
        <w:rPr>
          <w:rFonts w:hint="eastAsia" w:ascii="仿宋" w:hAnsi="仿宋" w:eastAsia="仿宋"/>
          <w:color w:val="000000"/>
          <w:sz w:val="32"/>
          <w:szCs w:val="32"/>
        </w:rPr>
      </w:pPr>
      <w:r>
        <w:rPr>
          <w:rFonts w:hint="eastAsia" w:ascii="仿宋" w:hAnsi="仿宋" w:eastAsia="仿宋"/>
          <w:color w:val="000000"/>
          <w:sz w:val="32"/>
          <w:szCs w:val="32"/>
        </w:rPr>
        <w:t>交通运输局：负责参与耕作层运输的监督管理工作。</w:t>
      </w:r>
    </w:p>
    <w:p>
      <w:pPr>
        <w:pStyle w:val="2"/>
        <w:spacing w:before="0" w:beforeAutospacing="0" w:after="0" w:afterAutospacing="0" w:line="480" w:lineRule="atLeast"/>
        <w:ind w:firstLine="480"/>
        <w:rPr>
          <w:rFonts w:hint="eastAsia" w:ascii="仿宋" w:hAnsi="仿宋" w:eastAsia="仿宋"/>
          <w:color w:val="000000"/>
          <w:sz w:val="32"/>
          <w:szCs w:val="32"/>
        </w:rPr>
      </w:pPr>
      <w:r>
        <w:rPr>
          <w:rFonts w:hint="eastAsia" w:ascii="仿宋" w:hAnsi="仿宋" w:eastAsia="仿宋"/>
          <w:color w:val="000000"/>
          <w:sz w:val="32"/>
          <w:szCs w:val="32"/>
        </w:rPr>
        <w:t>物流开发区、收储中心：负责耕作层剥离、运输、存放、管理等具体实施工作；负责对剥离土壤进行科学的存放、管理，保持土壤理化形状稳定，减少各环节中土壤流失、退化以及结构破坏；负责临时堆场的日常管理工作，按要求及时办理临时用地手续；负责按照《中华人民共和国土壤污染防治法》的规定具体实施相关作业，及时向生态环境主管部门报备相关情况。</w:t>
      </w:r>
    </w:p>
    <w:p>
      <w:pPr>
        <w:pStyle w:val="2"/>
        <w:spacing w:before="0" w:beforeAutospacing="0" w:after="0" w:afterAutospacing="0" w:line="480" w:lineRule="atLeast"/>
        <w:ind w:firstLine="480"/>
        <w:rPr>
          <w:rFonts w:hint="eastAsia" w:ascii="仿宋" w:hAnsi="仿宋" w:eastAsia="仿宋"/>
          <w:color w:val="000000"/>
          <w:sz w:val="32"/>
          <w:szCs w:val="32"/>
        </w:rPr>
      </w:pPr>
      <w:r>
        <w:rPr>
          <w:rFonts w:hint="eastAsia" w:ascii="仿宋" w:hAnsi="仿宋" w:eastAsia="仿宋"/>
          <w:color w:val="000000"/>
          <w:sz w:val="32"/>
          <w:szCs w:val="32"/>
        </w:rPr>
        <w:t>办公室：对执行耕作层剥离工作情况进行全过程监督，确保工作按要求执行，且符合相关法律法规和标准。</w:t>
      </w:r>
    </w:p>
    <w:p>
      <w:pPr>
        <w:pStyle w:val="2"/>
        <w:spacing w:before="0" w:beforeAutospacing="0" w:after="0" w:afterAutospacing="0" w:line="480" w:lineRule="atLeast"/>
        <w:ind w:firstLine="640" w:firstLineChars="200"/>
        <w:jc w:val="both"/>
        <w:rPr>
          <w:rFonts w:hint="eastAsia" w:ascii="黑体" w:hAnsi="黑体" w:eastAsia="黑体"/>
          <w:color w:val="000000"/>
          <w:sz w:val="32"/>
          <w:szCs w:val="32"/>
        </w:rPr>
      </w:pPr>
      <w:r>
        <w:rPr>
          <w:rFonts w:hint="eastAsia" w:ascii="黑体" w:hAnsi="黑体" w:eastAsia="黑体"/>
          <w:color w:val="000000"/>
          <w:sz w:val="32"/>
          <w:szCs w:val="32"/>
          <w:lang w:eastAsia="zh-CN"/>
        </w:rPr>
        <w:t>四、</w:t>
      </w:r>
      <w:r>
        <w:rPr>
          <w:rFonts w:hint="eastAsia" w:ascii="黑体" w:hAnsi="黑体" w:eastAsia="黑体"/>
          <w:color w:val="000000"/>
          <w:sz w:val="32"/>
          <w:szCs w:val="32"/>
        </w:rPr>
        <w:t>工作原则</w:t>
      </w:r>
    </w:p>
    <w:p>
      <w:pPr>
        <w:pStyle w:val="2"/>
        <w:spacing w:before="0" w:beforeAutospacing="0" w:after="0" w:afterAutospacing="0" w:line="480" w:lineRule="atLeast"/>
        <w:ind w:firstLine="480"/>
        <w:rPr>
          <w:rFonts w:hint="eastAsia" w:ascii="仿宋" w:hAnsi="仿宋" w:eastAsia="仿宋"/>
          <w:color w:val="000000"/>
          <w:sz w:val="32"/>
          <w:szCs w:val="32"/>
        </w:rPr>
      </w:pPr>
      <w:r>
        <w:rPr>
          <w:rFonts w:hint="eastAsia" w:ascii="仿宋" w:hAnsi="仿宋" w:eastAsia="仿宋"/>
          <w:color w:val="000000"/>
          <w:sz w:val="32"/>
          <w:szCs w:val="32"/>
        </w:rPr>
        <w:t>“应剥尽剥”原则。规自分局对于各类建设用地进行严格审查管理，按照前述剥离范围对耕作层做到应剥尽剥工作。</w:t>
      </w:r>
    </w:p>
    <w:p>
      <w:pPr>
        <w:pStyle w:val="2"/>
        <w:spacing w:before="0" w:beforeAutospacing="0" w:after="0" w:afterAutospacing="0" w:line="480" w:lineRule="atLeast"/>
        <w:ind w:firstLine="480"/>
        <w:rPr>
          <w:rFonts w:hint="eastAsia" w:ascii="仿宋" w:hAnsi="仿宋" w:eastAsia="仿宋"/>
          <w:color w:val="000000"/>
          <w:sz w:val="32"/>
          <w:szCs w:val="32"/>
        </w:rPr>
      </w:pPr>
      <w:r>
        <w:rPr>
          <w:rFonts w:hint="eastAsia" w:ascii="仿宋" w:hAnsi="仿宋" w:eastAsia="仿宋"/>
          <w:color w:val="000000"/>
          <w:sz w:val="32"/>
          <w:szCs w:val="32"/>
        </w:rPr>
        <w:t>“即剥即用、科学利用”原则。为减少土壤损耗和结构破坏，根据本年度耕作层剥离工作实施计划，做到即剥即用，科学利用。</w:t>
      </w:r>
    </w:p>
    <w:p>
      <w:pPr>
        <w:pStyle w:val="2"/>
        <w:spacing w:before="0" w:beforeAutospacing="0" w:after="0" w:afterAutospacing="0" w:line="480" w:lineRule="atLeast"/>
        <w:ind w:firstLine="480"/>
        <w:rPr>
          <w:rFonts w:hint="eastAsia" w:ascii="仿宋" w:hAnsi="仿宋" w:eastAsia="仿宋"/>
          <w:color w:val="000000"/>
          <w:sz w:val="32"/>
          <w:szCs w:val="32"/>
        </w:rPr>
      </w:pPr>
      <w:r>
        <w:rPr>
          <w:rFonts w:hint="eastAsia" w:ascii="仿宋" w:hAnsi="仿宋" w:eastAsia="仿宋"/>
          <w:color w:val="000000"/>
          <w:sz w:val="32"/>
          <w:szCs w:val="32"/>
        </w:rPr>
        <w:t>市场运作原则。物流开发区与第三方平台公司签订《建设用地项目耕作层剥离协议》，市场化操作实施。</w:t>
      </w:r>
    </w:p>
    <w:p>
      <w:pPr>
        <w:pStyle w:val="2"/>
        <w:spacing w:before="0" w:beforeAutospacing="0" w:after="0" w:afterAutospacing="0" w:line="480" w:lineRule="atLeast"/>
        <w:ind w:firstLine="480"/>
        <w:rPr>
          <w:rFonts w:hint="eastAsia" w:ascii="仿宋" w:hAnsi="仿宋" w:eastAsia="仿宋"/>
          <w:color w:val="000000"/>
          <w:sz w:val="32"/>
          <w:szCs w:val="32"/>
        </w:rPr>
      </w:pPr>
      <w:bookmarkStart w:id="0" w:name="_GoBack"/>
      <w:bookmarkEnd w:id="0"/>
      <w:r>
        <w:rPr>
          <w:rFonts w:hint="eastAsia" w:ascii="仿宋" w:hAnsi="仿宋" w:eastAsia="仿宋"/>
          <w:color w:val="000000"/>
          <w:sz w:val="32"/>
          <w:szCs w:val="32"/>
        </w:rPr>
        <w:t>有偿使用原则。耕作层实施剥离后，由物流开发区实行市场化、有偿化经营，耕作层剥离的相关费用纳入土地成本。</w:t>
      </w:r>
    </w:p>
    <w:p>
      <w:pPr>
        <w:pStyle w:val="2"/>
        <w:spacing w:before="0" w:beforeAutospacing="0" w:after="0" w:afterAutospacing="0" w:line="480" w:lineRule="atLeast"/>
        <w:ind w:firstLine="480"/>
        <w:rPr>
          <w:rFonts w:hint="eastAsia" w:ascii="仿宋" w:hAnsi="仿宋" w:eastAsia="仿宋"/>
          <w:color w:val="000000"/>
          <w:sz w:val="32"/>
          <w:szCs w:val="32"/>
        </w:rPr>
      </w:pPr>
    </w:p>
    <w:p>
      <w:pPr>
        <w:pStyle w:val="2"/>
        <w:numPr>
          <w:numId w:val="0"/>
        </w:numPr>
        <w:spacing w:before="0" w:beforeAutospacing="0" w:after="0" w:afterAutospacing="0" w:line="480" w:lineRule="atLeast"/>
        <w:ind w:left="1050" w:leftChars="0"/>
        <w:rPr>
          <w:rFonts w:hint="default" w:ascii="黑体" w:hAnsi="黑体" w:eastAsia="黑体" w:cs="黑体"/>
          <w:b w:val="0"/>
          <w:bCs w:val="0"/>
          <w:kern w:val="2"/>
          <w:sz w:val="32"/>
          <w:szCs w:val="32"/>
          <w:lang w:val="en-US" w:eastAsia="zh-CN" w:bidi="ar-SA"/>
        </w:rPr>
      </w:pPr>
    </w:p>
    <w:p>
      <w:pPr>
        <w:ind w:firstLine="643" w:firstLineChars="200"/>
        <w:jc w:val="both"/>
        <w:rPr>
          <w:rFonts w:hint="eastAsia" w:ascii="仿宋_GB2312" w:hAnsi="仿宋_GB2312" w:eastAsia="仿宋_GB2312" w:cs="仿宋_GB2312"/>
          <w:b/>
          <w:bCs/>
          <w:sz w:val="32"/>
          <w:szCs w:val="32"/>
          <w:lang w:val="en-US" w:eastAsia="zh-CN"/>
        </w:rPr>
      </w:pPr>
    </w:p>
    <w:p>
      <w:pPr>
        <w:jc w:val="both"/>
        <w:rPr>
          <w:rFonts w:hint="eastAsia" w:ascii="方正仿宋_GB2312" w:hAnsi="方正仿宋_GB2312" w:eastAsia="方正仿宋_GB2312" w:cs="方正仿宋_GB2312"/>
          <w:color w:val="00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00739A-4C6A-4BAF-B889-EB0A4E70ACD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23BCE1EF-2E16-4C98-96C0-28DE37F323E7}"/>
  </w:font>
  <w:font w:name="仿宋">
    <w:panose1 w:val="02010609060101010101"/>
    <w:charset w:val="86"/>
    <w:family w:val="modern"/>
    <w:pitch w:val="default"/>
    <w:sig w:usb0="800002BF" w:usb1="38CF7CFA" w:usb2="00000016" w:usb3="00000000" w:csb0="00040001" w:csb1="00000000"/>
    <w:embedRegular r:id="rId3" w:fontKey="{BF31FA97-7A50-41C8-9699-AAF2EAD50086}"/>
  </w:font>
  <w:font w:name="方正仿宋_GB2312">
    <w:panose1 w:val="02000000000000000000"/>
    <w:charset w:val="86"/>
    <w:family w:val="auto"/>
    <w:pitch w:val="default"/>
    <w:sig w:usb0="A00002BF" w:usb1="184F6CFA" w:usb2="00000012" w:usb3="00000000" w:csb0="00040001" w:csb1="00000000"/>
    <w:embedRegular r:id="rId4" w:fontKey="{3ACB470F-9822-408C-BA9C-A3B1AAA44D23}"/>
  </w:font>
  <w:font w:name="仿宋_GB2312">
    <w:altName w:val="仿宋"/>
    <w:panose1 w:val="02010609030101010101"/>
    <w:charset w:val="86"/>
    <w:family w:val="auto"/>
    <w:pitch w:val="default"/>
    <w:sig w:usb0="00000000" w:usb1="00000000" w:usb2="00000000" w:usb3="00000000" w:csb0="00000000" w:csb1="00000000"/>
    <w:embedRegular r:id="rId5" w:fontKey="{DDFE941E-798B-41B2-8BFD-7EF8FAD11A9E}"/>
  </w:font>
  <w:font w:name="微软雅黑">
    <w:panose1 w:val="020B0503020204020204"/>
    <w:charset w:val="86"/>
    <w:family w:val="swiss"/>
    <w:pitch w:val="default"/>
    <w:sig w:usb0="80000287" w:usb1="280F3C52" w:usb2="00000016" w:usb3="00000000" w:csb0="0004001F" w:csb1="00000000"/>
    <w:embedRegular r:id="rId6" w:fontKey="{E43F27D8-8216-4D84-A0AA-4CDA7EB16B5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2ECD2"/>
    <w:multiLevelType w:val="singleLevel"/>
    <w:tmpl w:val="B0B2ECD2"/>
    <w:lvl w:ilvl="0" w:tentative="0">
      <w:start w:val="1"/>
      <w:numFmt w:val="chineseCounting"/>
      <w:suff w:val="nothing"/>
      <w:lvlText w:val="%1、"/>
      <w:lvlJc w:val="left"/>
      <w:pPr>
        <w:ind w:left="4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D0745E"/>
    <w:rsid w:val="15466DC0"/>
    <w:rsid w:val="38167DA5"/>
    <w:rsid w:val="46D0745E"/>
    <w:rsid w:val="60F53993"/>
    <w:rsid w:val="636109C2"/>
    <w:rsid w:val="79EB1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2021-08-17T02:11:00Z</dcterms:created>
  <dc:creator>落落</dc:creator>
  <cp:lastModifiedBy>落落</cp:lastModifiedBy>
  <dcterms:modified xsi:type="dcterms:W3CDTF">2021-08-18T05:51:31Z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2BF77BE003E44252BC5F04F91CF5404F</vt:lpwstr>
  </property>
</Properties>
</file>