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val="0"/>
          <w:color w:val="000000"/>
          <w:kern w:val="0"/>
          <w:sz w:val="32"/>
          <w:szCs w:val="32"/>
          <w:shd w:val="clear" w:color="auto" w:fill="FFFFFF"/>
          <w:lang w:eastAsia="zh-CN" w:bidi="ar"/>
        </w:rPr>
      </w:pPr>
      <w:r>
        <w:rPr>
          <w:rFonts w:hint="eastAsia" w:ascii="仿宋_GB2312" w:hAnsi="仿宋_GB2312" w:eastAsia="仿宋_GB2312" w:cs="仿宋_GB2312"/>
          <w:b w:val="0"/>
          <w:bCs w:val="0"/>
          <w:color w:val="000000"/>
          <w:kern w:val="0"/>
          <w:sz w:val="32"/>
          <w:szCs w:val="32"/>
          <w:shd w:val="clear" w:color="auto" w:fill="FFFFFF"/>
          <w:lang w:eastAsia="zh-CN" w:bidi="ar"/>
        </w:rPr>
        <w:t>附件：</w:t>
      </w:r>
    </w:p>
    <w:p>
      <w:pPr>
        <w:jc w:val="left"/>
        <w:rPr>
          <w:rFonts w:hint="eastAsia" w:ascii="仿宋_GB2312" w:hAnsi="仿宋_GB2312" w:eastAsia="仿宋_GB2312" w:cs="仿宋_GB2312"/>
          <w:b w:val="0"/>
          <w:bCs w:val="0"/>
          <w:color w:val="00000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二道区农作物秸秆离田工作实施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暨资金管理办法（暂行）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color w:val="000000"/>
          <w:kern w:val="0"/>
          <w:sz w:val="32"/>
          <w:szCs w:val="32"/>
          <w:shd w:val="clear" w:color="auto" w:fill="FFFFFF"/>
          <w:lang w:eastAsia="zh-CN" w:bidi="ar"/>
        </w:rPr>
        <w:t>（审议稿）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2020年10月26日，全市秸秆全量化处置和禁烧管控工作调度推进视频会议精神，根据《长春市农作物秸秆露天禁烧和综合利用管理条例》要求，结合我区实际，制定二道区农作物秸秆离田工作实施暨资金管理办法。具体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为全面禁止露天焚烧农作物秸秆行为，鼓励对全区农作物秸秆开展离田作业，做到应离尽离。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农作物秸秆离田工作由区农业农村局牵头负责组织协调，区生态环境分局、公安分局、财政局、审计局和涉事属地等各部门、单位按照责任分工配合落实。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秸秆离田工作实行属地化管理。英俊镇、长青街道和远达街道为实施责任主体，对辖区内秸秆离田工作负总责。英俊镇、长青街道和远达街道要按照全区离田要求，细化措施办法，逐级落实包保责任。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加强秸秆离田宣传工作。英俊镇、长青街道和远达街道要充分利用条幅、公开信、宣传车等多种媒介进村入户广为宣传，营造良好的舆论氛围。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强化监督检查。离田期间，区农业农村局对各镇(街道)、村秸秆离田工作进行定期或不定期督导检查，及时通报情况。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加大扶持力度。区财政局将农作物秸秆离田补贴资金列入年度财政预算，支持工作开展。按照秸秆捡拾打捆机械实施作业的地块每公顷予以补贴500元，捡拾打捆机械无法作业的山坡地每公顷1000元的资金标准，对全区农作物秸秆离田给予补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b w:val="0"/>
          <w:bCs w:val="0"/>
          <w:color w:val="auto"/>
          <w:sz w:val="32"/>
          <w:szCs w:val="32"/>
          <w:lang w:val="en-US" w:eastAsia="zh-CN"/>
        </w:rPr>
        <w:t xml:space="preserve"> 加强资金监管。区农业农村局负责全区农作物秸秆补贴资金的申请和分配，英俊镇、长青街道和远达街道负责全区农作物秸秆补贴资金的具体使用，区财政局和审计局负责全区农作物秸秆离田补贴资金的监管、审计。农作物秸秆离田资金额度涉及政府采购的，严格执行政府采购程序。英俊镇、长青街道和远达街道负责对本辖区内离田完成情况组织验收，将验收结果报送区农业农村局，经区农业农村局审核后，按照实际离田面积结算离田补贴资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b w:val="0"/>
          <w:bCs w:val="0"/>
          <w:color w:val="auto"/>
          <w:sz w:val="32"/>
          <w:szCs w:val="32"/>
          <w:lang w:val="en-US" w:eastAsia="zh-CN"/>
        </w:rPr>
        <w:t xml:space="preserve"> 严格纪律监督。</w:t>
      </w:r>
      <w:r>
        <w:rPr>
          <w:rFonts w:hint="eastAsia" w:ascii="仿宋_GB2312" w:hAnsi="仿宋_GB2312" w:eastAsia="仿宋_GB2312" w:cs="仿宋_GB2312"/>
          <w:b w:val="0"/>
          <w:bCs w:val="0"/>
          <w:sz w:val="32"/>
          <w:szCs w:val="32"/>
          <w:lang w:val="en-US" w:eastAsia="zh-CN"/>
        </w:rPr>
        <w:t>秸秆捡拾打捆机械实施作业面积和捡拾打捆机械无法作业的山坡地面积的</w:t>
      </w:r>
      <w:bookmarkStart w:id="0" w:name="_GoBack"/>
      <w:bookmarkEnd w:id="0"/>
      <w:r>
        <w:rPr>
          <w:rFonts w:hint="eastAsia" w:ascii="仿宋_GB2312" w:hAnsi="仿宋_GB2312" w:eastAsia="仿宋_GB2312" w:cs="仿宋_GB2312"/>
          <w:b w:val="0"/>
          <w:bCs w:val="0"/>
          <w:color w:val="auto"/>
          <w:sz w:val="32"/>
          <w:szCs w:val="32"/>
          <w:lang w:val="en-US" w:eastAsia="zh-CN"/>
        </w:rPr>
        <w:t>认定工作由各镇（街道）、村共同组织实施，并履行好相关手续。对瞒报虚报面积数量骗取补贴资金的，依纪依法处理。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b w:val="0"/>
          <w:bCs w:val="0"/>
          <w:color w:val="auto"/>
          <w:sz w:val="32"/>
          <w:szCs w:val="32"/>
          <w:lang w:val="en-US" w:eastAsia="zh-CN"/>
        </w:rPr>
        <w:t xml:space="preserve"> 本办法未尽事宜及与上级相关政策文件不一致的，参照上级政策文件执行；上级政策文件也没有明确的，可采取一事一议的方式经区政府会议研究后补充完善。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b w:val="0"/>
          <w:bCs w:val="0"/>
          <w:color w:val="auto"/>
          <w:sz w:val="32"/>
          <w:szCs w:val="32"/>
          <w:lang w:val="en-US" w:eastAsia="zh-CN"/>
        </w:rPr>
        <w:t xml:space="preserve"> 本办法自</w:t>
      </w:r>
      <w:r>
        <w:rPr>
          <w:rFonts w:hint="default" w:ascii="仿宋_GB2312" w:hAnsi="仿宋_GB2312" w:eastAsia="仿宋_GB2312" w:cs="仿宋_GB2312"/>
          <w:b w:val="0"/>
          <w:bCs w:val="0"/>
          <w:color w:val="auto"/>
          <w:sz w:val="32"/>
          <w:szCs w:val="32"/>
          <w:lang w:val="en-US" w:eastAsia="zh-CN"/>
        </w:rPr>
        <w:t>2020</w:t>
      </w:r>
      <w:r>
        <w:rPr>
          <w:rFonts w:hint="eastAsia" w:ascii="仿宋_GB2312" w:hAnsi="仿宋_GB2312" w:eastAsia="仿宋_GB2312" w:cs="仿宋_GB2312"/>
          <w:b w:val="0"/>
          <w:bCs w:val="0"/>
          <w:color w:val="auto"/>
          <w:sz w:val="32"/>
          <w:szCs w:val="32"/>
          <w:lang w:val="en-US" w:eastAsia="zh-CN"/>
        </w:rPr>
        <w:t>年</w:t>
      </w:r>
      <w:r>
        <w:rPr>
          <w:rFonts w:hint="default"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val="en-US" w:eastAsia="zh-CN"/>
        </w:rPr>
        <w:t>月</w:t>
      </w:r>
      <w:r>
        <w:rPr>
          <w:rFonts w:hint="default"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日起施行。</w:t>
      </w:r>
    </w:p>
    <w:p/>
    <w:sectPr>
      <w:footerReference r:id="rId3" w:type="default"/>
      <w:pgSz w:w="11906" w:h="16838"/>
      <w:pgMar w:top="1871" w:right="1474" w:bottom="110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0704A"/>
    <w:rsid w:val="522362B8"/>
    <w:rsid w:val="5C00704A"/>
    <w:rsid w:val="725C2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2020-12-02T09:11:00Z</dcterms:created>
  <dc:creator>风云客</dc:creator>
  <cp:lastModifiedBy>风云客</cp:lastModifiedBy>
  <dcterms:modified xsi:type="dcterms:W3CDTF">2020-12-02T09:38:26Z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