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eastAsia="zh-CN"/>
        </w:rPr>
        <w:t>德惠市水利局</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2020</w:t>
      </w:r>
      <w:r>
        <w:rPr>
          <w:rFonts w:hint="eastAsia" w:ascii="宋体" w:hAnsi="宋体" w:eastAsia="宋体" w:cs="宋体"/>
          <w:b w:val="0"/>
          <w:bCs w:val="0"/>
          <w:color w:val="333333"/>
          <w:kern w:val="0"/>
          <w:sz w:val="24"/>
          <w:szCs w:val="24"/>
        </w:rPr>
        <w:t>年，我局深入贯彻《中华人民共和国政府信息公开条例》，认真执行省、市、县对政府信息公开管理工作要求，加强组织领导，精心安排部署有关工作，采取有力措施，扎实推进政府信息公开工作。</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（一）</w:t>
      </w:r>
      <w:r>
        <w:rPr>
          <w:rFonts w:hint="eastAsia" w:ascii="宋体" w:hAnsi="宋体" w:eastAsia="宋体" w:cs="宋体"/>
          <w:b w:val="0"/>
          <w:bCs w:val="0"/>
          <w:color w:val="333333"/>
          <w:kern w:val="0"/>
          <w:sz w:val="24"/>
          <w:szCs w:val="24"/>
        </w:rPr>
        <w:t>加强组织领导，明确责任分工。20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年初，根据人员调整变动情况，及时调整了政务信息公开和政务服务工作领导小组，仍由局长任组长，分管局领导任副组长，领导小组办公室设</w:t>
      </w:r>
      <w:r>
        <w:rPr>
          <w:rFonts w:hint="eastAsia" w:ascii="宋体" w:hAnsi="宋体" w:eastAsia="宋体" w:cs="宋体"/>
          <w:b w:val="0"/>
          <w:bCs w:val="0"/>
          <w:color w:val="333333"/>
          <w:kern w:val="0"/>
          <w:sz w:val="24"/>
          <w:szCs w:val="24"/>
          <w:lang w:eastAsia="zh-CN"/>
        </w:rPr>
        <w:t>在文书室</w:t>
      </w:r>
      <w:r>
        <w:rPr>
          <w:rFonts w:hint="eastAsia" w:ascii="宋体" w:hAnsi="宋体" w:eastAsia="宋体" w:cs="宋体"/>
          <w:b w:val="0"/>
          <w:bCs w:val="0"/>
          <w:color w:val="333333"/>
          <w:kern w:val="0"/>
          <w:sz w:val="24"/>
          <w:szCs w:val="24"/>
        </w:rPr>
        <w:t>，负责组织、指导、协调和监督全局政府信息公开工作。</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（二）</w:t>
      </w:r>
      <w:r>
        <w:rPr>
          <w:rFonts w:hint="eastAsia" w:ascii="宋体" w:hAnsi="宋体" w:eastAsia="宋体" w:cs="宋体"/>
          <w:b w:val="0"/>
          <w:bCs w:val="0"/>
          <w:color w:val="333333"/>
          <w:kern w:val="0"/>
          <w:sz w:val="24"/>
          <w:szCs w:val="24"/>
        </w:rPr>
        <w:t>逐步完善相关工作机制。一是对全局政府信息公开工作遵循的原则、内容形式、组织领导、责任追究等规定重新梳理，完善规定；二是完善考核制度，结合</w:t>
      </w:r>
      <w:r>
        <w:rPr>
          <w:rFonts w:hint="eastAsia" w:ascii="宋体" w:hAnsi="宋体" w:eastAsia="宋体" w:cs="宋体"/>
          <w:b w:val="0"/>
          <w:bCs w:val="0"/>
          <w:color w:val="333333"/>
          <w:kern w:val="0"/>
          <w:sz w:val="24"/>
          <w:szCs w:val="24"/>
          <w:lang w:eastAsia="zh-CN"/>
        </w:rPr>
        <w:t>本部门工作实际</w:t>
      </w:r>
      <w:r>
        <w:rPr>
          <w:rFonts w:hint="eastAsia" w:ascii="宋体" w:hAnsi="宋体" w:eastAsia="宋体" w:cs="宋体"/>
          <w:b w:val="0"/>
          <w:bCs w:val="0"/>
          <w:color w:val="333333"/>
          <w:kern w:val="0"/>
          <w:sz w:val="24"/>
          <w:szCs w:val="24"/>
        </w:rPr>
        <w:t>上报、对外宣传、信息沟通等工作，明确了考核办法和奖惩措施；三是完善信息公开保密审查制度，建立了相关责任</w:t>
      </w:r>
      <w:r>
        <w:rPr>
          <w:rFonts w:hint="eastAsia" w:ascii="宋体" w:hAnsi="宋体" w:eastAsia="宋体" w:cs="宋体"/>
          <w:b w:val="0"/>
          <w:bCs w:val="0"/>
          <w:color w:val="333333"/>
          <w:kern w:val="0"/>
          <w:sz w:val="24"/>
          <w:szCs w:val="24"/>
          <w:lang w:eastAsia="zh-CN"/>
        </w:rPr>
        <w:t>科</w:t>
      </w:r>
      <w:r>
        <w:rPr>
          <w:rFonts w:hint="eastAsia" w:ascii="宋体" w:hAnsi="宋体" w:eastAsia="宋体" w:cs="宋体"/>
          <w:b w:val="0"/>
          <w:bCs w:val="0"/>
          <w:color w:val="333333"/>
          <w:kern w:val="0"/>
          <w:sz w:val="24"/>
          <w:szCs w:val="24"/>
        </w:rPr>
        <w:t>室负责人、信息公开领导小组办公室和领导小组三级审查机制。</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（三）</w:t>
      </w:r>
      <w:r>
        <w:rPr>
          <w:rFonts w:hint="eastAsia" w:ascii="宋体" w:hAnsi="宋体" w:eastAsia="宋体" w:cs="宋体"/>
          <w:b w:val="0"/>
          <w:bCs w:val="0"/>
          <w:color w:val="333333"/>
          <w:kern w:val="0"/>
          <w:sz w:val="24"/>
          <w:szCs w:val="24"/>
        </w:rPr>
        <w:t>切实强化指导督查。局主管领导经常组织召开会议，检查信息公开工作进展情况，研究解决存在的问题，有效地促进了信息公开的各项工作。</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（四）运用多种手段和形式进行信息公开。充分利用政府门户网站、水利服务窗口宣传栏、单位办公区宣传栏等多种渠道，采取多种形式，及时主动向社会公布水利行业法规、政策、行业动态</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人事等方面信息，着力提高水利信息公开工作的质量和水平，取得了较好成效。</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（五）认真做好回应解读，关注热点难点，及时回复各种咨询。全年未收到有关政府信息公开方面的申请事项，全年无涉及政府信息公开方面的行政复议和行政诉讼案件。</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+33</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104</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5</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35</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14</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8424.49万元</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150</w:t>
            </w:r>
          </w:p>
        </w:tc>
      </w:tr>
    </w:tbl>
    <w:p>
      <w:pPr>
        <w:widowControl/>
        <w:shd w:val="clear" w:color="auto" w:fill="FFFFFF"/>
        <w:spacing w:after="240"/>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numPr>
          <w:numId w:val="0"/>
        </w:numPr>
        <w:shd w:val="clear" w:color="auto" w:fill="FFFFFF"/>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目前，我局政府信息公开工作与上级要求和社会公众的期待还存在一定差距，信息发布的及时性、信息公开的质量和公务人员的专业素质均有待提高，信息公开工作的主动性还要进一步增强。针对上述问题，我局将采取以下措施：一是进一步加强领导，增强工作人员的责任感，提高信息公开和政务服务工作人员的业务素质，及时、准确公布各项信息，方便群众了解全</w:t>
      </w:r>
      <w:r>
        <w:rPr>
          <w:rFonts w:hint="eastAsia" w:ascii="宋体" w:hAnsi="宋体" w:eastAsia="宋体" w:cs="宋体"/>
          <w:b w:val="0"/>
          <w:bCs w:val="0"/>
          <w:color w:val="333333"/>
          <w:kern w:val="0"/>
          <w:sz w:val="24"/>
          <w:szCs w:val="24"/>
          <w:lang w:eastAsia="zh-CN"/>
        </w:rPr>
        <w:t>市</w:t>
      </w:r>
      <w:r>
        <w:rPr>
          <w:rFonts w:hint="eastAsia" w:ascii="宋体" w:hAnsi="宋体" w:eastAsia="宋体" w:cs="宋体"/>
          <w:b w:val="0"/>
          <w:bCs w:val="0"/>
          <w:color w:val="333333"/>
          <w:kern w:val="0"/>
          <w:sz w:val="24"/>
          <w:szCs w:val="24"/>
        </w:rPr>
        <w:t>水利工作动态。二是加大对所属单位和机构的信息公开工作督促指导，明确信息公开是职责，要严格执行。三是营造信息公开良好氛围，让公众参与信息工作，支持信息公开工作。四是加强交流和培训，做好机关各</w:t>
      </w:r>
      <w:r>
        <w:rPr>
          <w:rFonts w:hint="eastAsia" w:ascii="宋体" w:hAnsi="宋体" w:eastAsia="宋体" w:cs="宋体"/>
          <w:b w:val="0"/>
          <w:bCs w:val="0"/>
          <w:color w:val="333333"/>
          <w:kern w:val="0"/>
          <w:sz w:val="24"/>
          <w:szCs w:val="24"/>
          <w:lang w:eastAsia="zh-CN"/>
        </w:rPr>
        <w:t>科</w:t>
      </w:r>
      <w:r>
        <w:rPr>
          <w:rFonts w:hint="eastAsia" w:ascii="宋体" w:hAnsi="宋体" w:eastAsia="宋体" w:cs="宋体"/>
          <w:b w:val="0"/>
          <w:bCs w:val="0"/>
          <w:color w:val="333333"/>
          <w:kern w:val="0"/>
          <w:sz w:val="24"/>
          <w:szCs w:val="24"/>
        </w:rPr>
        <w:t>室及局</w:t>
      </w:r>
      <w:r>
        <w:rPr>
          <w:rFonts w:hint="eastAsia" w:ascii="宋体" w:hAnsi="宋体" w:eastAsia="宋体" w:cs="宋体"/>
          <w:b w:val="0"/>
          <w:bCs w:val="0"/>
          <w:color w:val="333333"/>
          <w:kern w:val="0"/>
          <w:sz w:val="24"/>
          <w:szCs w:val="24"/>
          <w:lang w:eastAsia="zh-CN"/>
        </w:rPr>
        <w:t>下属</w:t>
      </w:r>
      <w:r>
        <w:rPr>
          <w:rFonts w:hint="eastAsia" w:ascii="宋体" w:hAnsi="宋体" w:eastAsia="宋体" w:cs="宋体"/>
          <w:b w:val="0"/>
          <w:bCs w:val="0"/>
          <w:color w:val="333333"/>
          <w:kern w:val="0"/>
          <w:sz w:val="24"/>
          <w:szCs w:val="24"/>
        </w:rPr>
        <w:t>单位工作人员信息公开专题培训，安排部署好有关工作，考核工作成效，同时，认真学习其他部门好的经验和做法，逐步提高我局政府信息公开工作水平。</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6960" w:firstLineChars="2900"/>
        <w:jc w:val="left"/>
        <w:rPr>
          <w:rFonts w:hint="eastAsia" w:ascii="宋体" w:hAnsi="宋体" w:eastAsia="宋体" w:cs="宋体"/>
          <w:color w:val="333333"/>
          <w:kern w:val="0"/>
          <w:sz w:val="24"/>
          <w:szCs w:val="24"/>
          <w:lang w:val="en-US" w:eastAsia="zh-CN"/>
        </w:rPr>
      </w:pPr>
    </w:p>
    <w:p>
      <w:pPr>
        <w:widowControl/>
        <w:shd w:val="clear" w:color="auto" w:fill="FFFFFF"/>
        <w:ind w:firstLine="6960" w:firstLineChars="2900"/>
        <w:jc w:val="left"/>
        <w:rPr>
          <w:rFonts w:hint="eastAsia" w:ascii="宋体" w:hAnsi="宋体" w:eastAsia="宋体" w:cs="宋体"/>
          <w:color w:val="333333"/>
          <w:kern w:val="0"/>
          <w:sz w:val="24"/>
          <w:szCs w:val="24"/>
          <w:lang w:val="en-US" w:eastAsia="zh-CN"/>
        </w:rPr>
      </w:pPr>
    </w:p>
    <w:p>
      <w:pPr>
        <w:widowControl/>
        <w:shd w:val="clear" w:color="auto" w:fill="FFFFFF"/>
        <w:ind w:firstLine="6960" w:firstLineChars="2900"/>
        <w:jc w:val="left"/>
        <w:rPr>
          <w:rFonts w:hint="eastAsia" w:ascii="宋体" w:hAnsi="宋体" w:eastAsia="宋体" w:cs="宋体"/>
          <w:color w:val="333333"/>
          <w:kern w:val="0"/>
          <w:sz w:val="24"/>
          <w:szCs w:val="24"/>
          <w:lang w:val="en-US" w:eastAsia="zh-CN"/>
        </w:rPr>
      </w:pPr>
    </w:p>
    <w:p>
      <w:pPr>
        <w:widowControl/>
        <w:shd w:val="clear" w:color="auto" w:fill="FFFFFF"/>
        <w:ind w:firstLine="6960" w:firstLineChars="2900"/>
        <w:jc w:val="left"/>
        <w:rPr>
          <w:rFonts w:hint="eastAsia" w:ascii="宋体" w:hAnsi="宋体" w:eastAsia="宋体" w:cs="宋体"/>
          <w:color w:val="333333"/>
          <w:kern w:val="0"/>
          <w:sz w:val="24"/>
          <w:szCs w:val="24"/>
          <w:lang w:val="en-US" w:eastAsia="zh-CN"/>
        </w:rPr>
      </w:pPr>
      <w:bookmarkStart w:id="0" w:name="_GoBack"/>
      <w:bookmarkEnd w:id="0"/>
      <w:r>
        <w:rPr>
          <w:rFonts w:hint="eastAsia" w:ascii="宋体" w:hAnsi="宋体" w:eastAsia="宋体" w:cs="宋体"/>
          <w:color w:val="333333"/>
          <w:kern w:val="0"/>
          <w:sz w:val="24"/>
          <w:szCs w:val="24"/>
          <w:lang w:val="en-US" w:eastAsia="zh-CN"/>
        </w:rPr>
        <w:t>德惠市水利局</w:t>
      </w:r>
    </w:p>
    <w:p>
      <w:pPr>
        <w:widowControl/>
        <w:ind w:firstLine="6720" w:firstLineChars="2800"/>
        <w:jc w:val="left"/>
        <w:rPr>
          <w:rFonts w:hint="eastAsia" w:ascii="宋体" w:hAnsi="宋体" w:eastAsia="宋体" w:cs="宋体"/>
          <w:color w:val="333333"/>
          <w:kern w:val="0"/>
          <w:sz w:val="24"/>
          <w:szCs w:val="24"/>
          <w:lang w:eastAsia="zh-CN"/>
        </w:rPr>
      </w:pPr>
      <w:r>
        <w:rPr>
          <w:rFonts w:hint="eastAsia" w:ascii="宋体" w:hAnsi="宋体" w:cs="宋体"/>
          <w:color w:val="333333"/>
          <w:kern w:val="0"/>
          <w:sz w:val="24"/>
          <w:szCs w:val="24"/>
          <w:lang w:val="en-US" w:eastAsia="zh-CN"/>
        </w:rPr>
        <w:t>2021年1月15日</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D8C2782"/>
    <w:rsid w:val="113D62FF"/>
    <w:rsid w:val="22534CC0"/>
    <w:rsid w:val="22A87A5F"/>
    <w:rsid w:val="2B811967"/>
    <w:rsid w:val="2E6A399B"/>
    <w:rsid w:val="2EBC1F0B"/>
    <w:rsid w:val="2EED47DB"/>
    <w:rsid w:val="2FD40719"/>
    <w:rsid w:val="33753FC1"/>
    <w:rsid w:val="39462400"/>
    <w:rsid w:val="3EFE4D39"/>
    <w:rsid w:val="40C94476"/>
    <w:rsid w:val="41EB5D68"/>
    <w:rsid w:val="436E3BC2"/>
    <w:rsid w:val="4381574A"/>
    <w:rsid w:val="47990858"/>
    <w:rsid w:val="47BA700A"/>
    <w:rsid w:val="481E292E"/>
    <w:rsid w:val="50642CF4"/>
    <w:rsid w:val="51E222E7"/>
    <w:rsid w:val="52BC4173"/>
    <w:rsid w:val="56410BF9"/>
    <w:rsid w:val="5BCA152B"/>
    <w:rsid w:val="5C1C756A"/>
    <w:rsid w:val="5DAF5956"/>
    <w:rsid w:val="60BD47F0"/>
    <w:rsid w:val="60CD26B8"/>
    <w:rsid w:val="625D0D2D"/>
    <w:rsid w:val="660C6655"/>
    <w:rsid w:val="66B27CBF"/>
    <w:rsid w:val="67685900"/>
    <w:rsid w:val="695F3768"/>
    <w:rsid w:val="69907989"/>
    <w:rsid w:val="69A21EAB"/>
    <w:rsid w:val="69FB6FBD"/>
    <w:rsid w:val="6E525592"/>
    <w:rsid w:val="70DD1C33"/>
    <w:rsid w:val="733A5088"/>
    <w:rsid w:val="73AB00AE"/>
    <w:rsid w:val="777F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2</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Administrator</cp:lastModifiedBy>
  <cp:lastPrinted>2020-12-15T06:21:00Z</cp:lastPrinted>
  <dcterms:modified xsi:type="dcterms:W3CDTF">2021-01-27T02:00:43Z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