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A3023">
      <w:pPr>
        <w:rPr>
          <w:rFonts w:hint="eastAsia" w:ascii="仿宋_GB2312" w:hAnsi="仿宋_GB2312" w:eastAsia="仿宋_GB2312" w:cs="仿宋_GB2312"/>
          <w:sz w:val="30"/>
          <w:szCs w:val="30"/>
          <w:lang w:val="en-US" w:eastAsia="zh-CN"/>
        </w:rPr>
      </w:pPr>
      <w:bookmarkStart w:id="0" w:name="OLE_LINK1"/>
      <w:r>
        <w:rPr>
          <w:rFonts w:hint="eastAsia" w:ascii="黑体" w:hAnsi="黑体" w:eastAsia="黑体" w:cs="黑体"/>
          <w:sz w:val="30"/>
          <w:szCs w:val="30"/>
        </w:rPr>
        <w:t>附件</w:t>
      </w:r>
      <w:r>
        <w:rPr>
          <w:rFonts w:hint="eastAsia" w:ascii="黑体" w:hAnsi="黑体" w:eastAsia="黑体" w:cs="黑体"/>
          <w:sz w:val="30"/>
          <w:szCs w:val="30"/>
          <w:lang w:val="en-US" w:eastAsia="zh-CN"/>
        </w:rPr>
        <w:t>1</w:t>
      </w:r>
    </w:p>
    <w:bookmarkEnd w:id="0"/>
    <w:p w14:paraId="3FCED87E">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年度市政府重大行政决策事项征集单</w:t>
      </w:r>
    </w:p>
    <w:p w14:paraId="79DB5E81">
      <w:pPr>
        <w:rPr>
          <w:rFonts w:ascii="方正楷体_GBK" w:hAnsi="Calibri" w:eastAsia="方正楷体_GBK" w:cs="Times New Roman"/>
          <w:sz w:val="24"/>
          <w:szCs w:val="24"/>
        </w:rPr>
      </w:pPr>
      <w:r>
        <w:rPr>
          <w:rFonts w:hint="eastAsia" w:ascii="楷体_GB2312" w:hAnsi="楷体_GB2312" w:eastAsia="楷体_GB2312" w:cs="楷体_GB2312"/>
          <w:sz w:val="24"/>
          <w:szCs w:val="24"/>
        </w:rPr>
        <w:t>填报单位：             盖章（签字）：          填报日期：    年  月  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7035"/>
      </w:tblGrid>
      <w:tr w14:paraId="155C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487" w:type="dxa"/>
            <w:noWrap w:val="0"/>
            <w:vAlign w:val="top"/>
          </w:tcPr>
          <w:p w14:paraId="3776AF3E">
            <w:pPr>
              <w:spacing w:line="320" w:lineRule="exact"/>
              <w:rPr>
                <w:rFonts w:hint="eastAsia" w:ascii="仿宋_GB2312" w:hAnsi="仿宋_GB2312" w:eastAsia="仿宋_GB2312" w:cs="仿宋_GB2312"/>
                <w:b/>
                <w:bCs/>
                <w:sz w:val="24"/>
                <w:szCs w:val="24"/>
              </w:rPr>
            </w:pPr>
          </w:p>
          <w:p w14:paraId="37FE3E9E">
            <w:pPr>
              <w:spacing w:line="320" w:lineRule="exact"/>
              <w:rPr>
                <w:rFonts w:hint="eastAsia" w:ascii="仿宋_GB2312" w:hAnsi="仿宋_GB2312" w:eastAsia="仿宋_GB2312" w:cs="仿宋_GB2312"/>
                <w:b/>
                <w:bCs/>
                <w:sz w:val="24"/>
                <w:szCs w:val="24"/>
              </w:rPr>
            </w:pPr>
          </w:p>
          <w:p w14:paraId="6647ABC4">
            <w:pPr>
              <w:spacing w:line="320" w:lineRule="exact"/>
              <w:rPr>
                <w:rFonts w:hint="eastAsia" w:ascii="仿宋_GB2312" w:hAnsi="仿宋_GB2312" w:eastAsia="仿宋_GB2312" w:cs="仿宋_GB2312"/>
                <w:b/>
                <w:bCs/>
                <w:sz w:val="24"/>
                <w:szCs w:val="24"/>
              </w:rPr>
            </w:pPr>
          </w:p>
          <w:p w14:paraId="26DFC909">
            <w:pPr>
              <w:spacing w:line="320" w:lineRule="exact"/>
              <w:rPr>
                <w:rFonts w:hint="eastAsia" w:ascii="仿宋_GB2312" w:hAnsi="仿宋_GB2312" w:eastAsia="仿宋_GB2312" w:cs="仿宋_GB2312"/>
                <w:b/>
                <w:bCs/>
                <w:sz w:val="24"/>
                <w:szCs w:val="24"/>
              </w:rPr>
            </w:pPr>
          </w:p>
          <w:p w14:paraId="1D89D0A5">
            <w:pPr>
              <w:spacing w:line="320" w:lineRule="exact"/>
              <w:rPr>
                <w:rFonts w:hint="eastAsia" w:ascii="仿宋_GB2312" w:hAnsi="仿宋_GB2312" w:eastAsia="仿宋_GB2312" w:cs="仿宋_GB2312"/>
                <w:b/>
                <w:bCs/>
                <w:sz w:val="24"/>
                <w:szCs w:val="24"/>
              </w:rPr>
            </w:pPr>
          </w:p>
          <w:p w14:paraId="653B0D19">
            <w:pPr>
              <w:spacing w:line="320" w:lineRule="exact"/>
              <w:rPr>
                <w:rFonts w:hint="eastAsia" w:ascii="仿宋_GB2312" w:hAnsi="仿宋_GB2312" w:eastAsia="仿宋_GB2312" w:cs="仿宋_GB2312"/>
                <w:b/>
                <w:bCs/>
                <w:sz w:val="24"/>
                <w:szCs w:val="24"/>
              </w:rPr>
            </w:pPr>
          </w:p>
          <w:p w14:paraId="1CF194CE">
            <w:pPr>
              <w:spacing w:line="320" w:lineRule="exact"/>
              <w:rPr>
                <w:rFonts w:hint="eastAsia" w:ascii="仿宋_GB2312" w:hAnsi="仿宋_GB2312" w:eastAsia="仿宋_GB2312" w:cs="仿宋_GB2312"/>
                <w:b/>
                <w:bCs/>
                <w:sz w:val="24"/>
                <w:szCs w:val="24"/>
              </w:rPr>
            </w:pPr>
          </w:p>
          <w:p w14:paraId="41994DF1">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事项名称</w:t>
            </w:r>
          </w:p>
        </w:tc>
        <w:tc>
          <w:tcPr>
            <w:tcW w:w="7036" w:type="dxa"/>
            <w:noWrap w:val="0"/>
            <w:vAlign w:val="top"/>
          </w:tcPr>
          <w:p w14:paraId="5254D11A">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填写说明：</w:t>
            </w:r>
          </w:p>
          <w:p w14:paraId="086A79CE">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根据《长春市人民政府重大行政决策程序实施办法》的规定，符合下列标准之一的，应当按规定上报：</w:t>
            </w:r>
          </w:p>
          <w:p w14:paraId="2ED1B6F0">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 国民经济和社会发展规划、国土空间总体规划、自然资源开发利用总体规划以及生态环境保护规划等经济和社会发展方面重要规划的编制和修订；</w:t>
            </w:r>
          </w:p>
          <w:p w14:paraId="6EC0C2F3">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 公共交通、城区改造、劳动就业、社会保障等重大民生项目的确定；</w:t>
            </w:r>
          </w:p>
          <w:p w14:paraId="560D30F1">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3. 市场监管、文化体育、科技教育、公共卫生等重大事项的确定；</w:t>
            </w:r>
          </w:p>
          <w:p w14:paraId="24B937B7">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4. 实行政府定价或者政府指导价重要商品和服务价格的制定和调整；</w:t>
            </w:r>
          </w:p>
          <w:p w14:paraId="5EAF56A9">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5. 医疗保险、生育保险、医疗救助、社会救助等政策、措施的制定和调整；</w:t>
            </w:r>
          </w:p>
          <w:p w14:paraId="6F830E5A">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6. 森林、湿地、陆生野生动植物、园林绿化、水源地保护等政策、措施的制定和调整；</w:t>
            </w:r>
          </w:p>
          <w:p w14:paraId="0BA75CDD">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7. 大气、水、土壤、噪声、光、固体废物、化学品、机动车污染防治等政策、措施的制定和调整；</w:t>
            </w:r>
          </w:p>
          <w:p w14:paraId="7CB95281">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8. 涉及非物质文化遗产保护、文物保护单位、历史文化名城等政策、措施的制定和调整；</w:t>
            </w:r>
          </w:p>
          <w:p w14:paraId="49D55288">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9. 政府重大投资项目安排和重大国有资产处置；</w:t>
            </w:r>
          </w:p>
          <w:p w14:paraId="7D6806A5">
            <w:pPr>
              <w:tabs>
                <w:tab w:val="left" w:pos="360"/>
              </w:tabs>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10. 其他社会公众关注度高、反响强烈或者可能产生较大社会影响的事项。</w:t>
            </w:r>
          </w:p>
        </w:tc>
      </w:tr>
      <w:tr w14:paraId="0627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7" w:type="dxa"/>
            <w:noWrap w:val="0"/>
            <w:vAlign w:val="center"/>
          </w:tcPr>
          <w:p w14:paraId="4D671A04">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必要性和</w:t>
            </w:r>
          </w:p>
          <w:p w14:paraId="7DD08549">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可行性</w:t>
            </w:r>
          </w:p>
          <w:p w14:paraId="7B8EA114">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简要分析</w:t>
            </w:r>
          </w:p>
        </w:tc>
        <w:tc>
          <w:tcPr>
            <w:tcW w:w="7036" w:type="dxa"/>
            <w:noWrap w:val="0"/>
            <w:vAlign w:val="top"/>
          </w:tcPr>
          <w:p w14:paraId="4F210940">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填写说明：</w:t>
            </w:r>
          </w:p>
          <w:p w14:paraId="0D1C30A3">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简要论述启动决策事项的必要性和可行性。</w:t>
            </w:r>
          </w:p>
        </w:tc>
      </w:tr>
      <w:tr w14:paraId="2174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487" w:type="dxa"/>
            <w:noWrap w:val="0"/>
            <w:vAlign w:val="center"/>
          </w:tcPr>
          <w:p w14:paraId="32CA375A">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计划完成</w:t>
            </w:r>
          </w:p>
          <w:p w14:paraId="4A9EBB32">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时间</w:t>
            </w:r>
          </w:p>
        </w:tc>
        <w:tc>
          <w:tcPr>
            <w:tcW w:w="7036" w:type="dxa"/>
            <w:noWrap w:val="0"/>
            <w:vAlign w:val="top"/>
          </w:tcPr>
          <w:p w14:paraId="661DC3C0">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第一季度</w:t>
            </w:r>
            <w:r>
              <w:rPr>
                <w:rFonts w:hint="eastAsia" w:ascii="仿宋_GB2312" w:hAnsi="仿宋_GB2312" w:eastAsia="仿宋_GB2312" w:cs="仿宋_GB2312"/>
                <w:szCs w:val="21"/>
              </w:rPr>
              <w:sym w:font="Wingdings" w:char="F06F"/>
            </w:r>
            <w:r>
              <w:rPr>
                <w:rFonts w:hint="eastAsia" w:ascii="仿宋_GB2312" w:hAnsi="仿宋_GB2312" w:eastAsia="仿宋_GB2312" w:cs="仿宋_GB2312"/>
                <w:szCs w:val="21"/>
              </w:rPr>
              <w:t xml:space="preserve">    第二季度</w:t>
            </w:r>
            <w:r>
              <w:rPr>
                <w:rFonts w:hint="eastAsia" w:ascii="仿宋_GB2312" w:hAnsi="仿宋_GB2312" w:eastAsia="仿宋_GB2312" w:cs="仿宋_GB2312"/>
                <w:szCs w:val="21"/>
              </w:rPr>
              <w:sym w:font="Wingdings" w:char="F06F"/>
            </w:r>
            <w:r>
              <w:rPr>
                <w:rFonts w:hint="eastAsia" w:ascii="仿宋_GB2312" w:hAnsi="仿宋_GB2312" w:eastAsia="仿宋_GB2312" w:cs="仿宋_GB2312"/>
                <w:szCs w:val="21"/>
              </w:rPr>
              <w:t xml:space="preserve">    第三季度</w:t>
            </w:r>
            <w:r>
              <w:rPr>
                <w:rFonts w:hint="eastAsia" w:ascii="仿宋_GB2312" w:hAnsi="仿宋_GB2312" w:eastAsia="仿宋_GB2312" w:cs="仿宋_GB2312"/>
                <w:szCs w:val="21"/>
              </w:rPr>
              <w:sym w:font="Wingdings" w:char="F06F"/>
            </w:r>
            <w:r>
              <w:rPr>
                <w:rFonts w:hint="eastAsia" w:ascii="仿宋_GB2312" w:hAnsi="仿宋_GB2312" w:eastAsia="仿宋_GB2312" w:cs="仿宋_GB2312"/>
                <w:szCs w:val="21"/>
              </w:rPr>
              <w:t xml:space="preserve">    第四季度</w:t>
            </w:r>
            <w:r>
              <w:rPr>
                <w:rFonts w:hint="eastAsia" w:ascii="仿宋_GB2312" w:hAnsi="仿宋_GB2312" w:eastAsia="仿宋_GB2312" w:cs="仿宋_GB2312"/>
                <w:szCs w:val="21"/>
              </w:rPr>
              <w:sym w:font="Wingdings" w:char="F06F"/>
            </w:r>
          </w:p>
        </w:tc>
      </w:tr>
      <w:tr w14:paraId="745B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87" w:type="dxa"/>
            <w:noWrap w:val="0"/>
            <w:vAlign w:val="center"/>
          </w:tcPr>
          <w:p w14:paraId="0C39476E">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合法性</w:t>
            </w:r>
          </w:p>
          <w:p w14:paraId="5940E4F5">
            <w:pPr>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审查意见</w:t>
            </w:r>
          </w:p>
        </w:tc>
        <w:tc>
          <w:tcPr>
            <w:tcW w:w="7036" w:type="dxa"/>
            <w:noWrap w:val="0"/>
            <w:vAlign w:val="top"/>
          </w:tcPr>
          <w:p w14:paraId="3F3EFCAC">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填写说明：</w:t>
            </w:r>
          </w:p>
          <w:p w14:paraId="099D5A25">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各单位内部法制机构的审查意见。主要包括：</w:t>
            </w:r>
          </w:p>
          <w:p w14:paraId="359E488D">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 是否属于市政府决策事项；</w:t>
            </w:r>
          </w:p>
          <w:p w14:paraId="4A9CF495">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 是否与宪法、</w:t>
            </w:r>
            <w:r>
              <w:rPr>
                <w:rFonts w:hint="eastAsia" w:ascii="仿宋_GB2312" w:hAnsi="仿宋_GB2312" w:eastAsia="仿宋_GB2312" w:cs="仿宋_GB2312"/>
                <w:szCs w:val="21"/>
                <w:lang w:eastAsia="zh-CN"/>
              </w:rPr>
              <w:t>法律法规</w:t>
            </w:r>
            <w:r>
              <w:rPr>
                <w:rFonts w:hint="eastAsia" w:ascii="仿宋_GB2312" w:hAnsi="仿宋_GB2312" w:eastAsia="仿宋_GB2312" w:cs="仿宋_GB2312"/>
                <w:szCs w:val="21"/>
              </w:rPr>
              <w:t>、规章及国家、省、市政策相抵触。</w:t>
            </w:r>
          </w:p>
        </w:tc>
      </w:tr>
    </w:tbl>
    <w:p w14:paraId="79BCB8A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60FE4"/>
    <w:rsid w:val="7D96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2025-04-07T02:13:00Z</dcterms:created>
  <dc:creator>邢祥运</dc:creator>
  <cp:lastModifiedBy>邢祥运</cp:lastModifiedBy>
  <dcterms:modified xsi:type="dcterms:W3CDTF">2025-04-07T02:14:18Z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B2DB57BF4F234C1B9E0000392D612D8D_11</vt:lpwstr>
  </property>
  <property fmtid="{D5CDD505-2E9C-101B-9397-08002B2CF9AE}" pid="4" name="KSOTemplateDocerSaveRecord">
    <vt:lpwstr>eyJoZGlkIjoiYzlkMDAyYmI3N2E1NDQ0YjQ0N2YwZWNjNjNhODUyZTIiLCJ1c2VySWQiOiIzMzQ3OTc0NzAifQ==</vt:lpwstr>
  </property>
</Properties>
</file>