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附件1</w:t>
      </w:r>
    </w:p>
    <w:p>
      <w:pPr>
        <w:spacing w:line="560" w:lineRule="exact"/>
        <w:rPr>
          <w:rFonts w:ascii="黑体" w:hAnsi="黑体" w:eastAsia="黑体" w:cs="仿宋_GB2312"/>
          <w:bCs/>
          <w:sz w:val="32"/>
          <w:szCs w:val="32"/>
        </w:rPr>
      </w:pPr>
      <w:bookmarkStart w:id="13" w:name="_GoBack"/>
      <w:bookmarkEnd w:id="13"/>
    </w:p>
    <w:p>
      <w:pPr>
        <w:spacing w:line="560" w:lineRule="exact"/>
        <w:jc w:val="center"/>
        <w:rPr>
          <w:rFonts w:ascii="方正小标宋_GBK" w:hAnsi="仿宋" w:eastAsia="方正小标宋_GBK" w:cs="黑体"/>
          <w:sz w:val="40"/>
          <w:szCs w:val="32"/>
        </w:rPr>
      </w:pPr>
      <w:r>
        <w:rPr>
          <w:rFonts w:hint="eastAsia" w:ascii="方正小标宋_GBK" w:hAnsi="仿宋" w:eastAsia="方正小标宋_GBK" w:cs="黑体"/>
          <w:sz w:val="40"/>
          <w:szCs w:val="32"/>
        </w:rPr>
        <w:t>《长春市国民经济和社会发展</w:t>
      </w:r>
    </w:p>
    <w:p>
      <w:pPr>
        <w:spacing w:line="560" w:lineRule="exact"/>
        <w:jc w:val="center"/>
        <w:rPr>
          <w:rFonts w:ascii="方正小标宋_GBK" w:hAnsi="仿宋" w:eastAsia="方正小标宋_GBK" w:cs="黑体"/>
          <w:sz w:val="40"/>
          <w:szCs w:val="32"/>
        </w:rPr>
      </w:pPr>
      <w:r>
        <w:rPr>
          <w:rFonts w:hint="eastAsia" w:ascii="方正小标宋_GBK" w:hAnsi="仿宋" w:eastAsia="方正小标宋_GBK" w:cs="黑体"/>
          <w:sz w:val="40"/>
          <w:szCs w:val="32"/>
        </w:rPr>
        <w:t>第十四个五年规划和2035年远景目标</w:t>
      </w:r>
    </w:p>
    <w:p>
      <w:pPr>
        <w:spacing w:line="560" w:lineRule="exact"/>
        <w:jc w:val="center"/>
        <w:rPr>
          <w:rFonts w:ascii="方正小标宋_GBK" w:hAnsi="仿宋" w:eastAsia="方正小标宋_GBK" w:cs="黑体"/>
          <w:sz w:val="40"/>
          <w:szCs w:val="32"/>
        </w:rPr>
      </w:pPr>
      <w:r>
        <w:rPr>
          <w:rFonts w:hint="eastAsia" w:ascii="方正小标宋_GBK" w:hAnsi="仿宋" w:eastAsia="方正小标宋_GBK" w:cs="黑体"/>
          <w:sz w:val="40"/>
          <w:szCs w:val="32"/>
        </w:rPr>
        <w:t>纲要主要目标和任务工作分工方案》德惠部分</w:t>
      </w:r>
    </w:p>
    <w:p>
      <w:pPr>
        <w:spacing w:line="400" w:lineRule="exact"/>
        <w:jc w:val="center"/>
        <w:rPr>
          <w:rFonts w:ascii="方正小标宋_GBK" w:hAnsi="仿宋" w:eastAsia="方正小标宋_GBK" w:cs="黑体"/>
          <w:sz w:val="40"/>
          <w:szCs w:val="32"/>
        </w:rPr>
      </w:pPr>
    </w:p>
    <w:p>
      <w:pPr>
        <w:spacing w:line="520" w:lineRule="exact"/>
        <w:ind w:firstLine="640" w:firstLineChars="200"/>
        <w:outlineLvl w:val="0"/>
        <w:rPr>
          <w:rFonts w:ascii="仿宋" w:hAnsi="仿宋" w:eastAsia="黑体" w:cs="黑体"/>
          <w:sz w:val="32"/>
          <w:szCs w:val="32"/>
        </w:rPr>
      </w:pPr>
      <w:r>
        <w:rPr>
          <w:rFonts w:hint="eastAsia" w:ascii="仿宋" w:hAnsi="仿宋" w:eastAsia="黑体" w:cs="黑体"/>
          <w:color w:val="000000"/>
          <w:sz w:val="32"/>
          <w:szCs w:val="32"/>
        </w:rPr>
        <w:t>一、约束性指标分工安排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（一）高中阶段教育毛入学率持续保持90%。</w:t>
      </w:r>
      <w:r>
        <w:rPr>
          <w:rFonts w:hint="eastAsia" w:ascii="仿宋_GB2312" w:hAnsi="仿宋" w:eastAsia="仿宋_GB2312" w:cs="仿宋_GB2312"/>
          <w:bCs/>
          <w:color w:val="000000"/>
          <w:sz w:val="32"/>
          <w:szCs w:val="32"/>
        </w:rPr>
        <w:t>（牵头单位：市教育局）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（二）单位地区生产总值能源消耗降低，按省下达。</w:t>
      </w:r>
      <w:r>
        <w:rPr>
          <w:rFonts w:hint="eastAsia" w:ascii="仿宋_GB2312" w:hAnsi="仿宋" w:eastAsia="仿宋_GB2312" w:cs="仿宋_GB2312"/>
          <w:bCs/>
          <w:color w:val="000000"/>
          <w:sz w:val="32"/>
          <w:szCs w:val="32"/>
        </w:rPr>
        <w:t>（牵头单位：市发改局）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（三）单位地区生产总值二氧化碳排放降低，按省下达。</w:t>
      </w:r>
      <w:r>
        <w:rPr>
          <w:rFonts w:hint="eastAsia" w:ascii="仿宋_GB2312" w:hAnsi="仿宋" w:eastAsia="仿宋_GB2312" w:cs="仿宋_GB2312"/>
          <w:bCs/>
          <w:color w:val="000000"/>
          <w:sz w:val="32"/>
          <w:szCs w:val="32"/>
        </w:rPr>
        <w:t>（牵头单位：市生态环境分局）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（四）空气质量优良天数比率，85%。</w:t>
      </w:r>
      <w:r>
        <w:rPr>
          <w:rFonts w:hint="eastAsia" w:ascii="仿宋_GB2312" w:hAnsi="仿宋" w:eastAsia="仿宋_GB2312" w:cs="仿宋_GB2312"/>
          <w:bCs/>
          <w:color w:val="000000"/>
          <w:sz w:val="32"/>
          <w:szCs w:val="32"/>
        </w:rPr>
        <w:t>（牵头单位：市生态环境分局）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（五）地表水达到或好于Ш类水体比例，16%。</w:t>
      </w:r>
      <w:r>
        <w:rPr>
          <w:rFonts w:hint="eastAsia" w:ascii="仿宋_GB2312" w:hAnsi="仿宋" w:eastAsia="仿宋_GB2312" w:cs="仿宋_GB2312"/>
          <w:bCs/>
          <w:color w:val="000000"/>
          <w:sz w:val="32"/>
          <w:szCs w:val="32"/>
        </w:rPr>
        <w:t>（牵头单位：市生态环境分局）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（六）森林覆盖率，4.5%。</w:t>
      </w:r>
      <w:r>
        <w:rPr>
          <w:rFonts w:hint="eastAsia" w:ascii="仿宋_GB2312" w:hAnsi="仿宋" w:eastAsia="仿宋_GB2312" w:cs="仿宋_GB2312"/>
          <w:bCs/>
          <w:color w:val="000000"/>
          <w:sz w:val="32"/>
          <w:szCs w:val="32"/>
        </w:rPr>
        <w:t>（牵头单位：市林业局）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（七）粮食综合生产能力，40亿斤。</w:t>
      </w:r>
      <w:r>
        <w:rPr>
          <w:rFonts w:hint="eastAsia" w:ascii="仿宋_GB2312" w:hAnsi="仿宋" w:eastAsia="仿宋_GB2312" w:cs="仿宋_GB2312"/>
          <w:bCs/>
          <w:color w:val="000000"/>
          <w:sz w:val="32"/>
          <w:szCs w:val="32"/>
        </w:rPr>
        <w:t>（牵头单位：市农业农村局）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（八）能源综合生产能力，11万吨标准煤。</w:t>
      </w:r>
      <w:r>
        <w:rPr>
          <w:rFonts w:hint="eastAsia" w:ascii="仿宋_GB2312" w:hAnsi="仿宋" w:eastAsia="仿宋_GB2312" w:cs="仿宋_GB2312"/>
          <w:bCs/>
          <w:color w:val="000000"/>
          <w:sz w:val="32"/>
          <w:szCs w:val="32"/>
        </w:rPr>
        <w:t>（牵头单位：市发改局）</w:t>
      </w:r>
    </w:p>
    <w:p>
      <w:pPr>
        <w:spacing w:line="52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二、重点任务分工安排</w:t>
      </w:r>
    </w:p>
    <w:p>
      <w:pPr>
        <w:spacing w:line="520" w:lineRule="exact"/>
        <w:ind w:firstLine="640" w:firstLineChars="200"/>
        <w:outlineLvl w:val="1"/>
        <w:rPr>
          <w:rFonts w:ascii="楷体_GB2312" w:hAnsi="仿宋" w:eastAsia="楷体_GB2312" w:cs="楷体"/>
          <w:sz w:val="32"/>
          <w:szCs w:val="32"/>
        </w:rPr>
      </w:pPr>
      <w:r>
        <w:rPr>
          <w:rFonts w:hint="eastAsia" w:ascii="楷体_GB2312" w:hAnsi="仿宋" w:eastAsia="楷体_GB2312" w:cs="楷体"/>
          <w:color w:val="000000"/>
          <w:sz w:val="32"/>
          <w:szCs w:val="32"/>
        </w:rPr>
        <w:t>（一）构建都市圈空间布局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以长春为核心，辐射带动吉林市、四平市、松原市、辽源市、梅河口市，构建“一核、两翼、三圈、多带”的都市圈空间布局。“三圈”：1小时通勤圈。以100公里为半径，沿长春都市圈1小时高速环线合围区域，涵盖长春市主城区、九台区、双阳区、公主岭市、德惠市、农安县、和四平市伊通县，打造都市圈的主要承载区。“多带”：以哈大、珲乌两条主要复合轴为基础，依托高速铁路和高速公路城际交通线，形成向外辐射发展态势。长吉（林）图（们）发展带。沿国家长吉图开发开放轴线，以九台区、双阳区为重要节点，加快长吉一体化发展。深化与珲春海洋经济发展示范区协作互动，向东打通陆海联运通道。长哈（尔滨）发展带。沿哈长发展主轴，以哈大高速铁路和京哈高速公路为通道，加快哈长城市群发展，以德惠市、榆树市为重要节点，接入“一带一路”北线通道。（市发改局牵头，市交通局及相关乡镇（街道）、开发区等按职责分工负责）</w:t>
      </w:r>
    </w:p>
    <w:p>
      <w:pPr>
        <w:spacing w:line="520" w:lineRule="exact"/>
        <w:ind w:firstLine="640" w:firstLineChars="200"/>
        <w:outlineLvl w:val="1"/>
        <w:rPr>
          <w:rFonts w:ascii="楷体_GB2312" w:hAnsi="仿宋" w:eastAsia="楷体_GB2312" w:cs="楷体"/>
          <w:sz w:val="32"/>
          <w:szCs w:val="32"/>
        </w:rPr>
      </w:pPr>
      <w:bookmarkStart w:id="0" w:name="_Toc55146141"/>
      <w:bookmarkStart w:id="1" w:name="_Toc51101824"/>
      <w:bookmarkStart w:id="2" w:name="_Toc69390245"/>
      <w:r>
        <w:rPr>
          <w:rFonts w:hint="eastAsia" w:ascii="楷体_GB2312" w:hAnsi="仿宋" w:eastAsia="楷体_GB2312" w:cs="楷体"/>
          <w:color w:val="000000"/>
          <w:sz w:val="32"/>
          <w:szCs w:val="32"/>
        </w:rPr>
        <w:t>（二）优化现代物流布局</w:t>
      </w:r>
      <w:bookmarkEnd w:id="0"/>
      <w:bookmarkEnd w:id="1"/>
      <w:bookmarkEnd w:id="2"/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建设“一核、两轴、两环、三区、七园”现代物流体系。“两轴”，即“哈大”物流发展轴及“珲乌”国际物流发展轴。以长春新区、九台区、德惠市等为重点，依托东北亚国家物流园、长春临空经济示范区和兴隆综合保税物流集聚区、中欧班列等主要枢纽通道，实现跨境、跨区域物流协调发展。（市发改局、市工信局、市交通局等按职责分工负责）</w:t>
      </w:r>
    </w:p>
    <w:p>
      <w:pPr>
        <w:spacing w:line="520" w:lineRule="exact"/>
        <w:ind w:firstLine="640" w:firstLineChars="200"/>
        <w:outlineLvl w:val="1"/>
        <w:rPr>
          <w:rFonts w:ascii="楷体_GB2312" w:hAnsi="仿宋" w:eastAsia="楷体_GB2312" w:cs="楷体"/>
          <w:sz w:val="32"/>
          <w:szCs w:val="32"/>
        </w:rPr>
      </w:pPr>
      <w:bookmarkStart w:id="3" w:name="_Toc69390354"/>
      <w:r>
        <w:rPr>
          <w:rFonts w:hint="eastAsia" w:ascii="楷体_GB2312" w:hAnsi="仿宋" w:eastAsia="楷体_GB2312" w:cs="楷体"/>
          <w:color w:val="000000"/>
          <w:sz w:val="32"/>
          <w:szCs w:val="32"/>
        </w:rPr>
        <w:t>（三）优化区域布局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依托德大、达利等龙头企业，重点发展现代农业、食品工业、循环经济等主导产业。大力发展养殖业及肉产品加工业，重点建设肉牛养殖园区，加快建设德翔亿只肉鸡全产业链、佳龙3万头生猪全产业链等重大项目。培育发展餐桌食品、休闲食品、快速食品等产业，打造中国“食品城”。加快推动长春循环经济产业开发区基础设施、再生资源交易大厦、达利食品加工等重大项目建设。（</w:t>
      </w:r>
      <w:bookmarkStart w:id="4" w:name="_Toc69369496"/>
      <w:r>
        <w:rPr>
          <w:rFonts w:hint="eastAsia" w:ascii="仿宋_GB2312" w:hAnsi="仿宋" w:eastAsia="仿宋_GB2312" w:cs="仿宋_GB2312"/>
          <w:sz w:val="32"/>
          <w:szCs w:val="32"/>
        </w:rPr>
        <w:t>市发改局、市工信局、市农业农村局、市畜牧局、市粮储局、长春循环经济产业开发区、朱城子镇政府、德惠经济开发区等按职责分工负责）</w:t>
      </w:r>
    </w:p>
    <w:bookmarkEnd w:id="4"/>
    <w:p>
      <w:pPr>
        <w:spacing w:line="520" w:lineRule="exact"/>
        <w:ind w:firstLine="640" w:firstLineChars="200"/>
        <w:outlineLvl w:val="1"/>
        <w:rPr>
          <w:rFonts w:ascii="楷体_GB2312" w:hAnsi="仿宋" w:eastAsia="楷体_GB2312" w:cs="楷体"/>
          <w:sz w:val="32"/>
          <w:szCs w:val="32"/>
        </w:rPr>
      </w:pPr>
      <w:r>
        <w:rPr>
          <w:rFonts w:hint="eastAsia" w:ascii="楷体_GB2312" w:hAnsi="仿宋" w:eastAsia="楷体_GB2312" w:cs="楷体"/>
          <w:color w:val="000000"/>
          <w:sz w:val="32"/>
          <w:szCs w:val="32"/>
        </w:rPr>
        <w:t>（四）优化现代农业产业体系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大力发展现代畜牧业。稳定生猪、肉牛、禽类、蛋品等优质畜产品供给，建设德惠两亿只肉鸡种养一体化项目。健全动物防疫体系，创建国家级食源性优质安全畜产品基地和粮肉奶综合供应基地。（市畜牧局、市农业农村局牵头，市工信局、市粮储局等按职责分工负责）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持续发展特色农业。推动蔬菜、水果等经济作物种植，联动发展县域重点城镇周边的蔬菜生产基地。加快推进产业布局，发展“一村一品、一乡一业”，建好德惠布海瓜果等特色优势区。（市农业农村局牵头，市工信局、市粮储局及各乡镇（街道）、开发区等按职责分工负责）</w:t>
      </w:r>
      <w:bookmarkEnd w:id="3"/>
      <w:bookmarkStart w:id="5" w:name="_Toc51101809"/>
      <w:bookmarkStart w:id="6" w:name="_Toc55146130"/>
      <w:bookmarkStart w:id="7" w:name="_Toc55763608"/>
      <w:bookmarkStart w:id="8" w:name="_Toc69390404"/>
    </w:p>
    <w:p>
      <w:pPr>
        <w:spacing w:line="520" w:lineRule="exact"/>
        <w:ind w:firstLine="640" w:firstLineChars="200"/>
        <w:outlineLvl w:val="1"/>
        <w:rPr>
          <w:rFonts w:ascii="楷体_GB2312" w:hAnsi="仿宋" w:eastAsia="楷体_GB2312" w:cs="楷体"/>
          <w:sz w:val="32"/>
          <w:szCs w:val="32"/>
        </w:rPr>
      </w:pPr>
      <w:bookmarkStart w:id="9" w:name="_Toc69369565"/>
      <w:r>
        <w:rPr>
          <w:rFonts w:hint="eastAsia" w:ascii="楷体_GB2312" w:hAnsi="仿宋" w:eastAsia="楷体_GB2312" w:cs="楷体"/>
          <w:color w:val="000000"/>
          <w:sz w:val="32"/>
          <w:szCs w:val="32"/>
        </w:rPr>
        <w:t>（五）建设现代化通用航空体系</w:t>
      </w:r>
      <w:bookmarkEnd w:id="5"/>
      <w:bookmarkEnd w:id="6"/>
      <w:bookmarkEnd w:id="7"/>
      <w:bookmarkEnd w:id="9"/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优化通航机场布局。新建德惠通用机场。建立低空飞行服务保障体系，满足飞行员培训、公务飞行、观光旅游、通用航空应急救援等发展需要。（市发改局牵头，市文广旅局等按职责分工负责）</w:t>
      </w:r>
    </w:p>
    <w:p>
      <w:pPr>
        <w:spacing w:line="520" w:lineRule="exact"/>
        <w:ind w:firstLine="640" w:firstLineChars="200"/>
        <w:outlineLvl w:val="1"/>
        <w:rPr>
          <w:rFonts w:ascii="楷体_GB2312" w:hAnsi="仿宋" w:eastAsia="楷体_GB2312" w:cs="楷体"/>
          <w:color w:val="000000"/>
          <w:sz w:val="32"/>
          <w:szCs w:val="32"/>
        </w:rPr>
      </w:pPr>
      <w:r>
        <w:rPr>
          <w:rFonts w:hint="eastAsia" w:ascii="楷体_GB2312" w:hAnsi="仿宋" w:eastAsia="楷体_GB2312" w:cs="楷体"/>
          <w:color w:val="000000"/>
          <w:sz w:val="32"/>
          <w:szCs w:val="32"/>
        </w:rPr>
        <w:t>（六）推动县域突破</w:t>
      </w:r>
    </w:p>
    <w:bookmarkEnd w:id="8"/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bookmarkStart w:id="10" w:name="_Toc55146118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建设长春北部副中心，依托哈长城市群一体化发展示范区建设，重点发展现代农业、食品工业、循环经济、清洁能源、装备制造、现代服务业等主导产业。推进与中韩（长春）国际合作示范区、长春新区融合发展，建设哈长城市群重要节点城市、长春向北开放的重要门户。力争到2025年，全域常住城镇人口达到50万人。（市农业农村局、市工信局、市发改局、长春循环经济产业开发区、德惠经济开发区、万宝镇政府等部门按职责分工负责）</w:t>
      </w:r>
    </w:p>
    <w:p>
      <w:pPr>
        <w:spacing w:line="520" w:lineRule="exact"/>
        <w:ind w:firstLine="640" w:firstLineChars="200"/>
        <w:outlineLvl w:val="1"/>
        <w:rPr>
          <w:rFonts w:ascii="楷体_GB2312" w:hAnsi="仿宋" w:eastAsia="楷体_GB2312" w:cs="楷体"/>
          <w:color w:val="000000"/>
          <w:sz w:val="32"/>
          <w:szCs w:val="32"/>
        </w:rPr>
      </w:pPr>
      <w:bookmarkStart w:id="11" w:name="_Toc55763619"/>
      <w:r>
        <w:rPr>
          <w:rFonts w:hint="eastAsia" w:ascii="楷体_GB2312" w:hAnsi="仿宋" w:eastAsia="楷体_GB2312" w:cs="楷体"/>
          <w:color w:val="000000"/>
          <w:sz w:val="32"/>
          <w:szCs w:val="32"/>
        </w:rPr>
        <w:t>（七）推动哈长城市群建设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加快建设哈长城市群一体化发展示范区。加快推动示范区内县（市、区）在统一规划编制、基础设施共建、公共服务共享、体制机制协同等方面进行探索和试点。德惠市依托哈大复合交通走廊，打造全国知名绿色食品产业示范区、国家现代农业发展引领区、全省循环经济发展先导区。（市发改局牵头，市工信局、市农业农村局、市自然资源局、市交通局、长春循环经济产业开发区等按职责分工负责）</w:t>
      </w:r>
    </w:p>
    <w:bookmarkEnd w:id="10"/>
    <w:bookmarkEnd w:id="11"/>
    <w:p>
      <w:pPr>
        <w:spacing w:line="520" w:lineRule="exact"/>
        <w:ind w:firstLine="640" w:firstLineChars="200"/>
        <w:outlineLvl w:val="1"/>
        <w:rPr>
          <w:rFonts w:ascii="楷体_GB2312" w:hAnsi="仿宋" w:eastAsia="楷体_GB2312" w:cs="楷体"/>
          <w:color w:val="000000"/>
          <w:sz w:val="32"/>
          <w:szCs w:val="32"/>
        </w:rPr>
      </w:pPr>
      <w:bookmarkStart w:id="12" w:name="_Toc48510580"/>
      <w:r>
        <w:rPr>
          <w:rFonts w:hint="eastAsia" w:ascii="楷体_GB2312" w:hAnsi="仿宋" w:eastAsia="楷体_GB2312" w:cs="楷体"/>
          <w:color w:val="000000"/>
          <w:sz w:val="32"/>
          <w:szCs w:val="32"/>
        </w:rPr>
        <w:t>（八）提升城市建设品质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建设油气管网。加快推进油气长输管网建设，天然气长输管道基本覆盖县级城市。建设德惠至扶余支线管道，推进长春市城市LNG应急调峰储配站等项目建设。（市发改局、市住建局牵头，市自然资源局、市应急局等按职责分工负责）</w:t>
      </w:r>
    </w:p>
    <w:bookmarkEnd w:id="12"/>
    <w:p>
      <w:pPr>
        <w:spacing w:line="520" w:lineRule="exact"/>
        <w:ind w:firstLine="640" w:firstLineChars="200"/>
        <w:outlineLvl w:val="1"/>
        <w:rPr>
          <w:rFonts w:ascii="楷体_GB2312" w:hAnsi="仿宋" w:eastAsia="楷体_GB2312" w:cs="楷体"/>
          <w:color w:val="000000"/>
          <w:sz w:val="32"/>
          <w:szCs w:val="32"/>
        </w:rPr>
      </w:pPr>
      <w:r>
        <w:rPr>
          <w:rFonts w:hint="eastAsia" w:ascii="楷体_GB2312" w:hAnsi="仿宋" w:eastAsia="楷体_GB2312" w:cs="楷体"/>
          <w:color w:val="000000"/>
          <w:sz w:val="32"/>
          <w:szCs w:val="32"/>
        </w:rPr>
        <w:t>（九）强化水污染防治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加强湿地污染防治。强化水源涵养林建设与保护，加大退耕还林、还草、还湿力度，实施德惠市湿地保护建设、东风污水处理厂尾水水质生态提升工程。（市林业局、市生态环境分局、市水利局、市住建局、市自然资源局等按职责分工负责）</w:t>
      </w:r>
    </w:p>
    <w:p>
      <w:pPr>
        <w:spacing w:line="520" w:lineRule="exact"/>
        <w:ind w:firstLine="640" w:firstLineChars="200"/>
        <w:rPr>
          <w:rFonts w:ascii="仿宋" w:hAnsi="仿宋" w:eastAsia="黑体" w:cs="黑体"/>
          <w:sz w:val="32"/>
          <w:szCs w:val="32"/>
        </w:rPr>
      </w:pPr>
      <w:r>
        <w:rPr>
          <w:rFonts w:hint="eastAsia" w:ascii="仿宋" w:hAnsi="仿宋" w:eastAsia="黑体" w:cs="黑体"/>
          <w:sz w:val="32"/>
          <w:szCs w:val="32"/>
        </w:rPr>
        <w:t>三、重点项目分工安排</w:t>
      </w:r>
    </w:p>
    <w:tbl>
      <w:tblPr>
        <w:tblStyle w:val="2"/>
        <w:tblW w:w="88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518"/>
        <w:gridCol w:w="3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520" w:lineRule="exact"/>
              <w:ind w:firstLine="480" w:firstLineChars="150"/>
              <w:rPr>
                <w:rFonts w:ascii="楷体_GB2312" w:hAnsi="仿宋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_GB2312"/>
                <w:color w:val="000000"/>
                <w:sz w:val="32"/>
                <w:szCs w:val="32"/>
              </w:rPr>
              <w:t>（一）现代农业重点项目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责任单位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肉鸡现代农业产业园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属地政府、市畜牧局、市农业农村局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4" w:type="dxa"/>
            <w:gridSpan w:val="3"/>
            <w:tcBorders>
              <w:top w:val="single" w:color="000000" w:sz="4" w:space="0"/>
            </w:tcBorders>
            <w:noWrap/>
            <w:vAlign w:val="center"/>
          </w:tcPr>
          <w:p>
            <w:pPr>
              <w:spacing w:line="520" w:lineRule="exact"/>
              <w:ind w:firstLine="480" w:firstLineChars="150"/>
              <w:rPr>
                <w:rFonts w:ascii="楷体_GB2312" w:hAnsi="仿宋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_GB2312"/>
                <w:color w:val="000000"/>
                <w:sz w:val="32"/>
                <w:szCs w:val="32"/>
              </w:rPr>
              <w:t>（二）综合立体交通枢纽重点项目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责任单位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1.机场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德惠通用机场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市发改局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520" w:lineRule="exact"/>
              <w:ind w:firstLine="480" w:firstLineChars="150"/>
              <w:rPr>
                <w:rFonts w:ascii="楷体_GB2312" w:hAnsi="仿宋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_GB2312"/>
                <w:color w:val="000000"/>
                <w:sz w:val="32"/>
                <w:szCs w:val="32"/>
              </w:rPr>
              <w:t>（三）生态建设重点项目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责任单位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1.重点水利环保项目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伊通河重点段治理工程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市水利局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饮马河重点段治理工程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市水利局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2.城市固体废物综合利用和处置能力提升工程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长春循环经济产业开发区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长春循环经济产业开发区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城市生活垃圾焚烧发电处理项目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长春循环经济产业开发区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长春市餐厨（厨余）垃圾处理厂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长春循环经济产业开发区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固体废弃物处理项目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长春循环经济产业开发区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3.城市污水处理和供水能力提升工程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德惠市第二净水厂建设工程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市住建局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4.能源基础设施项目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生物质热电联产项目</w:t>
            </w:r>
          </w:p>
        </w:tc>
        <w:tc>
          <w:tcPr>
            <w:tcW w:w="3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德惠经济开发区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城市LNG应急调峰储配站项目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万宝镇政府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风力发电项目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属地政府、市发改局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天然气利用及天然气管道项目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万宝镇政府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520" w:lineRule="exact"/>
              <w:ind w:firstLine="480" w:firstLineChars="150"/>
              <w:rPr>
                <w:rFonts w:ascii="楷体_GB2312" w:hAnsi="仿宋" w:eastAsia="楷体_GB2312" w:cs="仿宋_GB2312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_GB2312"/>
                <w:color w:val="000000"/>
                <w:sz w:val="32"/>
                <w:szCs w:val="32"/>
              </w:rPr>
              <w:t>（四）民生改善类重点项目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责任单位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1.重点教育类项目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吉林工程技术师范学院</w:t>
            </w:r>
          </w:p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异地新建项目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_GB2312" w:cs="仿宋_GB2312"/>
                <w:color w:val="000000"/>
                <w:sz w:val="28"/>
                <w:szCs w:val="28"/>
              </w:rPr>
              <w:t>米沙子镇政府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mFhMjY4YjZjZTE0OGYyNTU3MTkxNzkzNzFjMjEifQ=="/>
  </w:docVars>
  <w:rsids>
    <w:rsidRoot w:val="56953B0F"/>
    <w:rsid w:val="56953B0F"/>
    <w:rsid w:val="7BD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2524</Words>
  <Characters>2554</Characters>
  <Lines>0</Lines>
  <Paragraphs>0</Paragraphs>
  <TotalTime>0</TotalTime>
  <ScaleCrop>false</ScaleCrop>
  <LinksUpToDate>false</LinksUpToDate>
  <CharactersWithSpaces>2554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2023-04-26T03:52:00Z</dcterms:created>
  <dc:creator>lenovo</dc:creator>
  <cp:lastModifiedBy>lenovo</cp:lastModifiedBy>
  <dcterms:modified xsi:type="dcterms:W3CDTF">2023-04-26T04:03:32Z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2F272B1B7954418DA0DE3932B72DAB8D_13</vt:lpwstr>
  </property>
</Properties>
</file>