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长春市朝阳区财政局信息公开工作年度报告</w:t>
      </w:r>
    </w:p>
    <w:p>
      <w:pPr>
        <w:jc w:val="center"/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>根据《中华人民共和国政府信息公开条例》（下称《条例》）要求，特向社会公布201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年长春市朝阳区财政局信息公开工作年度报告。本报告所列数据的统计期限自201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年1月1日至201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年12月31日止。本报告的电子版可在“长春朝阳”门户网站财政局栏目（www.ccchaoyang.gov.cn/cccy/site/164/）下载。如对本报告有疑问，请与长春市朝阳区财政局办公室联系（地址：长春市前进大街1855号；邮编：130012；电话：0431-85109075；传真：0431-85109075；电子邮箱：</w:t>
      </w: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cyqcaizhengju@163.com</w:t>
      </w:r>
      <w:r>
        <w:rPr>
          <w:rFonts w:hint="eastAsia" w:ascii="宋体" w:hAnsi="宋体" w:eastAsia="宋体" w:cs="宋体"/>
          <w:sz w:val="18"/>
          <w:szCs w:val="18"/>
          <w:highlight w:val="none"/>
        </w:rPr>
        <w:t>）。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概述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>推进财政信息公开是我局贯彻落实《条例》的重要举措，是深入推进部门政务公开，落实依法理财要求，推进公共财政建设，打造“阳光财政”，确保政府依法行政的一项重要工作。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>201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年，我局围绕信息公开制度化、规范化、常态化工作目标，积极采取措施加大工作统筹力度。全年着重畅通了采购信息发布渠道，提高政府采购工作透明度；稳妥推进了政府财政预决算公开，主动向社会公布财政数据；定期更新了部门动态信息，及时公开重点工作推进情况，展示干部职工面貌风采。进一步完善了信息公开长效机制，推动形成了上下联动、左右互动、有机配合、强化管理的工作格局。严格执行了信息公开保密审查制度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依法按时发布了政府信息公开年度报告。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二、政府信息主动公开情况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　　（一）公开的主要内容我局对公开信息进行了梳理和编目，2013年至2017我局信息公开数量如下。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201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年，我局通过“长春朝阳”门户网站主动公开信息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437</w:t>
      </w:r>
      <w:r>
        <w:rPr>
          <w:rFonts w:hint="eastAsia" w:ascii="宋体" w:hAnsi="宋体" w:eastAsia="宋体" w:cs="宋体"/>
          <w:sz w:val="18"/>
          <w:szCs w:val="18"/>
        </w:rPr>
        <w:t>条，主要包括政策法规、政府采购、政务动态等内容。其中：会议活动信息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25</w:t>
      </w:r>
      <w:r>
        <w:rPr>
          <w:rFonts w:hint="eastAsia" w:ascii="宋体" w:hAnsi="宋体" w:eastAsia="宋体" w:cs="宋体"/>
          <w:sz w:val="18"/>
          <w:szCs w:val="18"/>
        </w:rPr>
        <w:t>篇、部门重要工作信息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</w:t>
      </w:r>
      <w:r>
        <w:rPr>
          <w:rFonts w:hint="eastAsia" w:ascii="宋体" w:hAnsi="宋体" w:eastAsia="宋体" w:cs="宋体"/>
          <w:sz w:val="18"/>
          <w:szCs w:val="18"/>
        </w:rPr>
        <w:t>篇、财政政策法规信息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篇、财政预决算信息6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篇、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重大专项资金信息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5篇、</w:t>
      </w:r>
      <w:r>
        <w:rPr>
          <w:rFonts w:hint="eastAsia" w:ascii="宋体" w:hAnsi="宋体" w:eastAsia="宋体" w:cs="宋体"/>
          <w:sz w:val="18"/>
          <w:szCs w:val="18"/>
        </w:rPr>
        <w:t>政府采购类信息32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篇。</w:t>
      </w:r>
    </w:p>
    <w:p>
      <w:pPr>
        <w:ind w:firstLine="36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drawing>
          <wp:inline distT="0" distB="0" distL="114300" distR="114300">
            <wp:extent cx="5080000" cy="3810000"/>
            <wp:effectExtent l="4445" t="4445" r="20955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（二）公开的主要形式</w:t>
      </w:r>
    </w:p>
    <w:p>
      <w:pPr>
        <w:ind w:firstLine="64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1．政府网站</w:t>
      </w:r>
    </w:p>
    <w:p>
      <w:pPr>
        <w:ind w:firstLine="64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我局信息公开专栏下设政务动态、政策法规、政府建设、规划计划、应急管理、办事服务、行政权力透明运行、政府采购、财政收支、局长信箱等栏目，市民可以通过上述栏目查询主动公开的财政信息。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>2．公报年鉴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>我局配合区地方志办公室完成201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年区志财政局建设有关内容，公开各项财政规章制度、财政收支数据、部门工作动态、机构人员设置等信息。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三、政府信息依申请公开情况、不予公开政府信息情况 </w:t>
      </w:r>
      <w:r>
        <w:rPr>
          <w:rFonts w:hint="eastAsia" w:ascii="宋体" w:hAnsi="宋体" w:eastAsia="宋体" w:cs="宋体"/>
          <w:sz w:val="18"/>
          <w:szCs w:val="18"/>
        </w:rPr>
        <w:t xml:space="preserve">  </w:t>
      </w:r>
    </w:p>
    <w:p>
      <w:pPr>
        <w:ind w:firstLine="64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（一）申请情况</w:t>
      </w:r>
    </w:p>
    <w:p>
      <w:pPr>
        <w:ind w:firstLine="64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201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年，我局共收到政府信息公开申请0件，其他形式申请0件。</w:t>
      </w:r>
    </w:p>
    <w:p>
      <w:pPr>
        <w:ind w:firstLine="64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（二）申请处理情况</w:t>
      </w:r>
    </w:p>
    <w:p>
      <w:pPr>
        <w:ind w:firstLine="64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201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年，我局共受理0件政府信息公开申请。</w:t>
      </w:r>
    </w:p>
    <w:p>
      <w:pPr>
        <w:ind w:firstLine="64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（三）不予公开政府信息情况</w:t>
      </w:r>
    </w:p>
    <w:p>
      <w:pPr>
        <w:ind w:firstLine="64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201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年，我局共受理0件政府信息公开申请。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四、申请行政复议、提起行政诉讼和申诉的情况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>201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年，我局未收到行政复议申请和行政诉讼。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五、政府信息公开的收费及减免情况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>201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年，我局没有发生此项费用。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六、主要问题和改进措施</w:t>
      </w:r>
    </w:p>
    <w:p>
      <w:pPr>
        <w:ind w:firstLine="64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201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年，区财政局信息公开工作取得一定成效，但还存在公开范围有待进一步拓展、公开形式有待进一步丰富等问题。在下步工作中，财政局将重点做好以下几方面工作：</w:t>
      </w:r>
    </w:p>
    <w:p>
      <w:pPr>
        <w:numPr>
          <w:ilvl w:val="0"/>
          <w:numId w:val="1"/>
        </w:numPr>
        <w:ind w:firstLine="64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进一步拓展政府信息公开内容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>把社会公众普遍关心、涉及人民群众切身利益的问题作为局信息公开的重点内容，特别是要大力推进预算信息公开。进一步细化公开财政预算、决算；继续推进部门预算、决算公开。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　　（二）进一步丰富政府信息公开形式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　　加强区财政局子站各栏目建设，及时准确地发布财政信息。加大财政新闻发布力度，及时向社会发布公众关注度高、涉及面广的重要财政新闻。坚持图文并茂，丰富信息形式,尽力即时更新，确保信息时效。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　　（三）进一步加强调查研究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　　针对政府信息公开过程中出现的问题，进一步加强调查研究，不断总结经验，有针对性地改进工作，提高政府信息公开工作的质量和水平。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七、其他事项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>无</w:t>
      </w:r>
    </w:p>
    <w:p>
      <w:pPr>
        <w:ind w:firstLine="640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附表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00" w:lineRule="atLeast"/>
        <w:ind w:right="0" w:rightChars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政府信息公开情况统计表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00" w:lineRule="atLeast"/>
        <w:ind w:right="0" w:rightChars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（201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年度）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00" w:lineRule="atLeast"/>
        <w:ind w:right="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填报单位（盖章）：</w:t>
      </w:r>
    </w:p>
    <w:tbl>
      <w:tblPr>
        <w:tblStyle w:val="5"/>
        <w:tblW w:w="85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0"/>
        <w:gridCol w:w="64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 计 指 标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一、主动公开情况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64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（一）主动公开政府信息数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64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（不同渠道和方式公开相同信息计1条）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其中：主动公开规范性文件数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制发规范性文件总数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（二）通过不同渠道和方式公开政府信息的情况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1.政府公报公开政府信息数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2.政府网站公开政府信息数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3.政务微博公开政府信息数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4.政务微信公开政府信息数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5.其他方式公开政府信息数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二、回应解读情况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64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（一）回应公众关注热点或重大舆情数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64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（不同方式回应同一热点或舆情计1次）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（二）通过不同渠道和方式回应解读的情况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1.参加或举办新闻发布会总次数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其中：主要负责同志参加新闻发布会次数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2.政府网站在线访谈次数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其中：主要负责同志参加政府网站在线访谈次数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3.政策解读稿件发布数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4.微博微信回应事件数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5.其他方式回应事件数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三、依申请公开情况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（一）收到申请数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1.当面申请数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2.传真申请数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3.网络申请数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4.信函申请数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（二）申请办结数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1.按时办结数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2.延期办结数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（三）申请答复数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1.属于已主动公开范围数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2.同意公开答复数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3.同意部分公开答复数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4.不同意公开答复数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其中：涉及国家秘密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涉及商业秘密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涉及个人隐私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危及国家安全、公共安全、经济安全和社会稳定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不是《条例》所指政府信息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法律法规规定的其他情形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5.不属于本行政机关公开数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6.申请信息不存在数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7.告知作出更改补充数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8.告知通过其他途径办理数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四、行政复议数量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(一)维持具体行政行为数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(二)被依法纠错数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(三)其他情形数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五、行政诉讼数量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(一)维持具体行政行为或者驳回原告诉讼请求数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(二)被依法纠错九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(三)其他情形数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六、举报投诉数量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七、依申请公开信息收取的费用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八、机构建设和保障经费情况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（一）政府信息公开工作专门机构数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（二）设置政府信息公开查阅点数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（三）从事政府信息公开工作人员数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64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1.专职人员数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64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（不包括政府公报及政府网站工作人员数）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2.兼职人员数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64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（四）政府信息公开专项经费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64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（不包括用于政府公报编辑管理及政府网站建设维护等方面的经费）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九、政府信息公开会议和培训情况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（一）召开政府信息公开工作会议或专题会议数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（二）举办各类培训班数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（三）接受培训人员数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单位负责人：宋国干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审核人：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王明远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孙维男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填报人：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张柳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　　联系电话：0431-85109075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填表日期：201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日</w:t>
      </w:r>
    </w:p>
    <w:p>
      <w:pPr>
        <w:ind w:firstLine="640"/>
        <w:rPr>
          <w:rFonts w:hint="eastAsia" w:ascii="宋体" w:hAnsi="宋体" w:eastAsia="宋体" w:cs="宋体"/>
          <w:b/>
          <w:bCs/>
          <w:sz w:val="18"/>
          <w:szCs w:val="18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E058"/>
    <w:multiLevelType w:val="singleLevel"/>
    <w:tmpl w:val="58B4E05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E193F"/>
    <w:rsid w:val="11DB667E"/>
    <w:rsid w:val="2054037D"/>
    <w:rsid w:val="29D30DCB"/>
    <w:rsid w:val="2C6D26E3"/>
    <w:rsid w:val="440C12E0"/>
    <w:rsid w:val="47FC268F"/>
    <w:rsid w:val="50EF2726"/>
    <w:rsid w:val="5BC946C8"/>
    <w:rsid w:val="666A45AA"/>
    <w:rsid w:val="69EB4F59"/>
    <w:rsid w:val="73556061"/>
    <w:rsid w:val="79B80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900">
                <a:latin typeface="仿宋" panose="02010609060101010101" charset="-122"/>
                <a:ea typeface="仿宋" panose="02010609060101010101" charset="-122"/>
              </a:rPr>
              <a:t>2013</a:t>
            </a:r>
            <a:r>
              <a:rPr altLang="en-US" sz="900">
                <a:latin typeface="仿宋" panose="02010609060101010101" charset="-122"/>
                <a:ea typeface="仿宋" panose="02010609060101010101" charset="-122"/>
              </a:rPr>
              <a:t>年至</a:t>
            </a:r>
            <a:r>
              <a:rPr lang="en-US" altLang="zh-CN" sz="900">
                <a:latin typeface="仿宋" panose="02010609060101010101" charset="-122"/>
                <a:ea typeface="仿宋" panose="02010609060101010101" charset="-122"/>
              </a:rPr>
              <a:t>2017</a:t>
            </a:r>
            <a:r>
              <a:rPr altLang="en-US" sz="900">
                <a:latin typeface="仿宋" panose="02010609060101010101" charset="-122"/>
                <a:ea typeface="仿宋" panose="02010609060101010101" charset="-122"/>
              </a:rPr>
              <a:t>年公开信息数量</a:t>
            </a:r>
            <a:endParaRPr altLang="en-US" sz="900">
              <a:latin typeface="仿宋" panose="02010609060101010101" charset="-122"/>
              <a:ea typeface="仿宋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2013年至2017年公开信息数量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158</c:v>
                </c:pt>
                <c:pt idx="1">
                  <c:v>162</c:v>
                </c:pt>
                <c:pt idx="2">
                  <c:v>218</c:v>
                </c:pt>
                <c:pt idx="3">
                  <c:v>398</c:v>
                </c:pt>
                <c:pt idx="4">
                  <c:v>437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仿宋" panose="02010609060101010101" charset="-122"/>
              <a:ea typeface="仿宋" panose="02010609060101010101" charset="-122"/>
              <a:cs typeface="仿宋" panose="02010609060101010101" charset="-122"/>
              <a:sym typeface="仿宋" panose="02010609060101010101" charset="-122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6945"/>
          <c:y val="0.109833333333333"/>
          <c:w val="0.905175"/>
          <c:h val="0.73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2017年公开信息明细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会议活动</c:v>
                </c:pt>
                <c:pt idx="1">
                  <c:v>重要工作</c:v>
                </c:pt>
                <c:pt idx="2">
                  <c:v>财政政策法规</c:v>
                </c:pt>
                <c:pt idx="3">
                  <c:v>财政预决算</c:v>
                </c:pt>
                <c:pt idx="4">
                  <c:v>重大专项资金</c:v>
                </c:pt>
                <c:pt idx="5">
                  <c:v>政府采购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</c:v>
                </c:pt>
                <c:pt idx="1">
                  <c:v>20</c:v>
                </c:pt>
                <c:pt idx="2">
                  <c:v>3</c:v>
                </c:pt>
                <c:pt idx="3">
                  <c:v>62</c:v>
                </c:pt>
                <c:pt idx="4">
                  <c:v>5</c:v>
                </c:pt>
                <c:pt idx="5">
                  <c:v>322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3380706"/>
        <c:axId val="656387930"/>
      </c:barChart>
      <c:catAx>
        <c:axId val="2233807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56387930"/>
        <c:crosses val="autoZero"/>
        <c:auto val="1"/>
        <c:lblAlgn val="ctr"/>
        <c:lblOffset val="100"/>
        <c:noMultiLvlLbl val="0"/>
      </c:catAx>
      <c:valAx>
        <c:axId val="65638793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33807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2018-03-07T07:46:00Z</cp:lastPrinted>
  <dcterms:modified xsi:type="dcterms:W3CDTF">2018-04-04T05:15:58Z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