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6C857">
      <w:pPr>
        <w:pStyle w:val="9"/>
        <w:ind w:firstLine="0" w:firstLineChars="0"/>
        <w:rPr>
          <w:sz w:val="40"/>
          <w:szCs w:val="28"/>
        </w:rPr>
      </w:pPr>
      <w:r>
        <w:rPr>
          <w:rFonts w:hint="eastAsia"/>
          <w:sz w:val="40"/>
          <w:szCs w:val="28"/>
        </w:rPr>
        <w:t>2</w:t>
      </w:r>
      <w:r>
        <w:rPr>
          <w:sz w:val="40"/>
          <w:szCs w:val="28"/>
        </w:rPr>
        <w:t>0</w:t>
      </w:r>
      <w:r>
        <w:rPr>
          <w:rFonts w:hint="eastAsia"/>
          <w:sz w:val="40"/>
          <w:szCs w:val="28"/>
          <w:lang w:val="en-US" w:eastAsia="zh-CN"/>
        </w:rPr>
        <w:t>24</w:t>
      </w:r>
      <w:r>
        <w:rPr>
          <w:rFonts w:hint="eastAsia"/>
          <w:sz w:val="40"/>
          <w:szCs w:val="28"/>
        </w:rPr>
        <w:t>年朝阳区国民经济和社会发展统计公报</w:t>
      </w:r>
    </w:p>
    <w:p w14:paraId="1CFAD0A5">
      <w:pPr>
        <w:rPr>
          <w:highlight w:val="none"/>
        </w:rPr>
      </w:pPr>
    </w:p>
    <w:p w14:paraId="08E15BA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eastAsia="仿宋" w:cs="仿宋"/>
          <w:highlight w:val="none"/>
          <w:lang w:val="en-US"/>
        </w:rPr>
      </w:pPr>
      <w:r>
        <w:rPr>
          <w:rFonts w:hint="eastAsia" w:ascii="仿宋" w:hAnsi="仿宋" w:eastAsia="仿宋" w:cs="仿宋"/>
          <w:sz w:val="32"/>
          <w:szCs w:val="32"/>
          <w:highlight w:val="none"/>
          <w:lang w:val="en-US" w:eastAsia="zh-CN"/>
        </w:rPr>
        <w:t>2024年,是贯彻落实二十大精神的关键之年、是圆满完成第五次全国经济普查的攻坚之年、是朝阳区分局全体党员干部履行统计职责、优化统计服务的奋进之年。朝阳区分局严格落实市局 工作部署，聚焦重点任务、创新工作举措，不断开拓朝阳统计工作新局面。</w:t>
      </w:r>
    </w:p>
    <w:p w14:paraId="549D493B">
      <w:pPr>
        <w:pStyle w:val="2"/>
        <w:keepNext w:val="0"/>
        <w:keepLines w:val="0"/>
        <w:pageBreakBefore w:val="0"/>
        <w:widowControl w:val="0"/>
        <w:kinsoku/>
        <w:wordWrap/>
        <w:overflowPunct/>
        <w:topLinePunct w:val="0"/>
        <w:autoSpaceDE/>
        <w:autoSpaceDN/>
        <w:bidi w:val="0"/>
        <w:adjustRightInd/>
        <w:snapToGrid/>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一、综合</w:t>
      </w:r>
    </w:p>
    <w:p w14:paraId="05501CC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根据地区生产总值统一核算成果，2024年我区地区生产总值 1001.04亿元，按不变价格计算，比上年增长4.5%。分产业看，第一产业增加值1.34亿元，比上年增长4.2%；第二产业增加值244.73亿元，比上年增长0.7%；第三产业增加值754.97亿元，比上年增长5.8%。</w:t>
      </w:r>
    </w:p>
    <w:p w14:paraId="7D57DEA0">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sz w:val="32"/>
          <w:szCs w:val="32"/>
          <w:highlight w:val="none"/>
          <w:lang w:val="en-US" w:eastAsia="zh-CN"/>
        </w:rPr>
      </w:pPr>
      <w:r>
        <w:rPr>
          <w:rFonts w:hint="eastAsia" w:ascii="仿宋" w:eastAsia="仿宋" w:cs="仿宋"/>
          <w:sz w:val="32"/>
          <w:szCs w:val="32"/>
          <w:highlight w:val="none"/>
          <w:lang w:val="en-US" w:eastAsia="zh-CN"/>
        </w:rPr>
        <w:t>产业结构得到进一步优化，三大产业比重分别为：0.1:24.4:75.5。</w:t>
      </w:r>
    </w:p>
    <w:p w14:paraId="7C6B121C">
      <w:pPr>
        <w:keepNext w:val="0"/>
        <w:keepLines w:val="0"/>
        <w:pageBreakBefore w:val="0"/>
        <w:widowControl w:val="0"/>
        <w:kinsoku/>
        <w:wordWrap/>
        <w:overflowPunct/>
        <w:topLinePunct w:val="0"/>
        <w:autoSpaceDE/>
        <w:autoSpaceDN/>
        <w:bidi w:val="0"/>
        <w:adjustRightInd/>
        <w:snapToGrid/>
        <w:rPr>
          <w:highlight w:val="none"/>
        </w:rPr>
      </w:pPr>
      <w:r>
        <w:rPr>
          <w:highlight w:val="none"/>
        </w:rPr>
        <w:drawing>
          <wp:inline distT="0" distB="0" distL="0" distR="0">
            <wp:extent cx="4293870" cy="1894205"/>
            <wp:effectExtent l="4445" t="4445" r="6985" b="6350"/>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FDAA7B">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二、农业</w:t>
      </w:r>
    </w:p>
    <w:p w14:paraId="4FA11296">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2024</w:t>
      </w:r>
      <w:r>
        <w:rPr>
          <w:rFonts w:hint="eastAsia" w:ascii="仿宋" w:hAnsi="仿宋" w:eastAsia="仿宋" w:cs="仿宋"/>
          <w:color w:val="000000" w:themeColor="text1"/>
          <w:highlight w:val="none"/>
          <w14:textFill>
            <w14:solidFill>
              <w14:schemeClr w14:val="tx1"/>
            </w14:solidFill>
          </w14:textFill>
        </w:rPr>
        <w:t>年全区农作物播种面积</w:t>
      </w:r>
      <w:r>
        <w:rPr>
          <w:rFonts w:hint="eastAsia" w:ascii="仿宋" w:hAnsi="仿宋" w:eastAsia="仿宋" w:cs="仿宋"/>
          <w:color w:val="000000" w:themeColor="text1"/>
          <w:highlight w:val="none"/>
          <w:lang w:val="en-US" w:eastAsia="zh-CN"/>
          <w14:textFill>
            <w14:solidFill>
              <w14:schemeClr w14:val="tx1"/>
            </w14:solidFill>
          </w14:textFill>
        </w:rPr>
        <w:t>10070.3</w:t>
      </w:r>
      <w:r>
        <w:rPr>
          <w:rFonts w:hint="eastAsia" w:ascii="仿宋" w:hAnsi="仿宋" w:eastAsia="仿宋" w:cs="仿宋"/>
          <w:color w:val="000000" w:themeColor="text1"/>
          <w:highlight w:val="none"/>
          <w14:textFill>
            <w14:solidFill>
              <w14:schemeClr w14:val="tx1"/>
            </w14:solidFill>
          </w14:textFill>
        </w:rPr>
        <w:t>公顷，其中粮食作物播种面积</w:t>
      </w:r>
      <w:r>
        <w:rPr>
          <w:rFonts w:hint="eastAsia" w:ascii="仿宋" w:hAnsi="仿宋" w:eastAsia="仿宋" w:cs="仿宋"/>
          <w:i w:val="0"/>
          <w:caps w:val="0"/>
          <w:color w:val="000000" w:themeColor="text1"/>
          <w:spacing w:val="0"/>
          <w:kern w:val="0"/>
          <w:sz w:val="32"/>
          <w:szCs w:val="32"/>
          <w:highlight w:val="none"/>
          <w:lang w:val="en-US" w:eastAsia="zh-CN" w:bidi="ar"/>
          <w14:textFill>
            <w14:solidFill>
              <w14:schemeClr w14:val="tx1"/>
            </w14:solidFill>
          </w14:textFill>
        </w:rPr>
        <w:t>9592.8</w:t>
      </w:r>
      <w:r>
        <w:rPr>
          <w:rFonts w:hint="eastAsia" w:ascii="仿宋" w:hAnsi="仿宋" w:eastAsia="仿宋" w:cs="仿宋"/>
          <w:color w:val="000000" w:themeColor="text1"/>
          <w:highlight w:val="none"/>
          <w14:textFill>
            <w14:solidFill>
              <w14:schemeClr w14:val="tx1"/>
            </w14:solidFill>
          </w14:textFill>
        </w:rPr>
        <w:t>公顷，经济作物播种面积</w:t>
      </w:r>
      <w:r>
        <w:rPr>
          <w:rFonts w:hint="eastAsia" w:ascii="仿宋" w:hAnsi="仿宋" w:eastAsia="仿宋" w:cs="仿宋"/>
          <w:color w:val="000000" w:themeColor="text1"/>
          <w:sz w:val="32"/>
          <w:szCs w:val="32"/>
          <w:highlight w:val="none"/>
          <w:lang w:val="en-US" w:eastAsia="zh-CN"/>
          <w14:textFill>
            <w14:solidFill>
              <w14:schemeClr w14:val="tx1"/>
            </w14:solidFill>
          </w14:textFill>
        </w:rPr>
        <w:t>477.5</w:t>
      </w:r>
      <w:r>
        <w:rPr>
          <w:rFonts w:hint="eastAsia" w:ascii="仿宋" w:hAnsi="仿宋" w:eastAsia="仿宋" w:cs="仿宋"/>
          <w:color w:val="000000" w:themeColor="text1"/>
          <w:highlight w:val="none"/>
          <w14:textFill>
            <w14:solidFill>
              <w14:schemeClr w14:val="tx1"/>
            </w14:solidFill>
          </w14:textFill>
        </w:rPr>
        <w:t>公顷，分</w:t>
      </w:r>
      <w:r>
        <w:rPr>
          <w:rFonts w:hint="eastAsia" w:ascii="仿宋" w:hAnsi="仿宋" w:eastAsia="仿宋" w:cs="仿宋"/>
          <w:color w:val="000000" w:themeColor="text1"/>
          <w:highlight w:val="none"/>
          <w:lang w:eastAsia="zh-CN"/>
          <w14:textFill>
            <w14:solidFill>
              <w14:schemeClr w14:val="tx1"/>
            </w14:solidFill>
          </w14:textFill>
        </w:rPr>
        <w:t>别</w:t>
      </w:r>
      <w:r>
        <w:rPr>
          <w:rFonts w:hint="eastAsia" w:ascii="仿宋" w:hAnsi="仿宋" w:eastAsia="仿宋" w:cs="仿宋"/>
          <w:color w:val="000000" w:themeColor="text1"/>
          <w:highlight w:val="none"/>
          <w14:textFill>
            <w14:solidFill>
              <w14:schemeClr w14:val="tx1"/>
            </w14:solidFill>
          </w14:textFill>
        </w:rPr>
        <w:t>占总播种面积的</w:t>
      </w:r>
      <w:r>
        <w:rPr>
          <w:rFonts w:hint="eastAsia" w:ascii="仿宋" w:hAnsi="仿宋" w:eastAsia="仿宋" w:cs="仿宋"/>
          <w:color w:val="000000" w:themeColor="text1"/>
          <w:highlight w:val="none"/>
          <w:lang w:val="en-US" w:eastAsia="zh-CN"/>
          <w14:textFill>
            <w14:solidFill>
              <w14:schemeClr w14:val="tx1"/>
            </w14:solidFill>
          </w14:textFill>
        </w:rPr>
        <w:t>95.3</w:t>
      </w:r>
      <w:r>
        <w:rPr>
          <w:rFonts w:hint="eastAsia" w:ascii="仿宋" w:hAnsi="仿宋" w:eastAsia="仿宋" w:cs="仿宋"/>
          <w:color w:val="000000" w:themeColor="text1"/>
          <w:highlight w:val="none"/>
          <w14:textFill>
            <w14:solidFill>
              <w14:schemeClr w14:val="tx1"/>
            </w14:solidFill>
          </w14:textFill>
        </w:rPr>
        <w:t>%和</w:t>
      </w:r>
      <w:r>
        <w:rPr>
          <w:rFonts w:hint="eastAsia" w:ascii="仿宋" w:hAnsi="仿宋" w:eastAsia="仿宋" w:cs="仿宋"/>
          <w:color w:val="000000" w:themeColor="text1"/>
          <w:highlight w:val="none"/>
          <w:lang w:val="en-US" w:eastAsia="zh-CN"/>
          <w14:textFill>
            <w14:solidFill>
              <w14:schemeClr w14:val="tx1"/>
            </w14:solidFill>
          </w14:textFill>
        </w:rPr>
        <w:t>4.7</w:t>
      </w:r>
      <w:r>
        <w:rPr>
          <w:rFonts w:hint="eastAsia" w:ascii="仿宋" w:hAnsi="仿宋" w:eastAsia="仿宋" w:cs="仿宋"/>
          <w:color w:val="000000" w:themeColor="text1"/>
          <w:highlight w:val="none"/>
          <w14:textFill>
            <w14:solidFill>
              <w14:schemeClr w14:val="tx1"/>
            </w14:solidFill>
          </w14:textFill>
        </w:rPr>
        <w:t>%。粮食作物总产量</w:t>
      </w:r>
      <w:r>
        <w:rPr>
          <w:rFonts w:hint="eastAsia" w:ascii="仿宋" w:hAnsi="仿宋" w:eastAsia="仿宋" w:cs="仿宋"/>
          <w:i w:val="0"/>
          <w:caps w:val="0"/>
          <w:color w:val="000000" w:themeColor="text1"/>
          <w:spacing w:val="0"/>
          <w:kern w:val="0"/>
          <w:sz w:val="32"/>
          <w:szCs w:val="32"/>
          <w:highlight w:val="none"/>
          <w:lang w:val="en-US" w:eastAsia="zh-CN" w:bidi="ar"/>
          <w14:textFill>
            <w14:solidFill>
              <w14:schemeClr w14:val="tx1"/>
            </w14:solidFill>
          </w14:textFill>
        </w:rPr>
        <w:t>65273.3</w:t>
      </w:r>
      <w:r>
        <w:rPr>
          <w:rFonts w:hint="eastAsia" w:ascii="仿宋" w:hAnsi="仿宋" w:eastAsia="仿宋" w:cs="仿宋"/>
          <w:color w:val="000000" w:themeColor="text1"/>
          <w:highlight w:val="none"/>
          <w14:textFill>
            <w14:solidFill>
              <w14:schemeClr w14:val="tx1"/>
            </w14:solidFill>
          </w14:textFill>
        </w:rPr>
        <w:t>吨，经济作物总产量</w:t>
      </w:r>
      <w:r>
        <w:rPr>
          <w:rFonts w:hint="eastAsia" w:ascii="仿宋" w:hAnsi="仿宋" w:eastAsia="仿宋" w:cs="仿宋"/>
          <w:color w:val="000000" w:themeColor="text1"/>
          <w:highlight w:val="none"/>
          <w:lang w:val="en-US" w:eastAsia="zh-CN"/>
          <w14:textFill>
            <w14:solidFill>
              <w14:schemeClr w14:val="tx1"/>
            </w14:solidFill>
          </w14:textFill>
        </w:rPr>
        <w:t>12642.9</w:t>
      </w:r>
      <w:r>
        <w:rPr>
          <w:rFonts w:hint="eastAsia" w:ascii="仿宋" w:hAnsi="仿宋" w:eastAsia="仿宋" w:cs="仿宋"/>
          <w:color w:val="000000" w:themeColor="text1"/>
          <w:highlight w:val="none"/>
          <w14:textFill>
            <w14:solidFill>
              <w14:schemeClr w14:val="tx1"/>
            </w14:solidFill>
          </w14:textFill>
        </w:rPr>
        <w:t>吨。</w:t>
      </w:r>
    </w:p>
    <w:p w14:paraId="5A26F20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2024</w:t>
      </w:r>
      <w:r>
        <w:rPr>
          <w:rFonts w:hint="eastAsia" w:ascii="仿宋" w:hAnsi="仿宋" w:eastAsia="仿宋" w:cs="仿宋"/>
          <w:color w:val="000000" w:themeColor="text1"/>
          <w:highlight w:val="none"/>
          <w14:textFill>
            <w14:solidFill>
              <w14:schemeClr w14:val="tx1"/>
            </w14:solidFill>
          </w14:textFill>
        </w:rPr>
        <w:t>年末，猪存栏</w:t>
      </w:r>
      <w:r>
        <w:rPr>
          <w:rFonts w:hint="eastAsia" w:ascii="仿宋" w:hAnsi="仿宋" w:eastAsia="仿宋" w:cs="仿宋"/>
          <w:color w:val="000000" w:themeColor="text1"/>
          <w:highlight w:val="none"/>
          <w:lang w:val="en-US" w:eastAsia="zh-CN"/>
          <w14:textFill>
            <w14:solidFill>
              <w14:schemeClr w14:val="tx1"/>
            </w14:solidFill>
          </w14:textFill>
        </w:rPr>
        <w:t>3421</w:t>
      </w:r>
      <w:r>
        <w:rPr>
          <w:rFonts w:hint="eastAsia" w:ascii="仿宋" w:hAnsi="仿宋" w:eastAsia="仿宋" w:cs="仿宋"/>
          <w:color w:val="000000" w:themeColor="text1"/>
          <w:highlight w:val="none"/>
          <w14:textFill>
            <w14:solidFill>
              <w14:schemeClr w14:val="tx1"/>
            </w14:solidFill>
          </w14:textFill>
        </w:rPr>
        <w:t>头，</w:t>
      </w:r>
      <w:r>
        <w:rPr>
          <w:rFonts w:hint="eastAsia" w:ascii="仿宋" w:hAnsi="仿宋" w:eastAsia="仿宋" w:cs="仿宋"/>
          <w:color w:val="000000" w:themeColor="text1"/>
          <w:highlight w:val="none"/>
          <w:lang w:eastAsia="zh-CN"/>
          <w14:textFill>
            <w14:solidFill>
              <w14:schemeClr w14:val="tx1"/>
            </w14:solidFill>
          </w14:textFill>
        </w:rPr>
        <w:t>同比下降</w:t>
      </w:r>
      <w:r>
        <w:rPr>
          <w:rFonts w:hint="eastAsia" w:ascii="仿宋" w:hAnsi="仿宋" w:eastAsia="仿宋" w:cs="仿宋"/>
          <w:color w:val="000000" w:themeColor="text1"/>
          <w:highlight w:val="none"/>
          <w:lang w:val="en-US" w:eastAsia="zh-CN"/>
          <w14:textFill>
            <w14:solidFill>
              <w14:schemeClr w14:val="tx1"/>
            </w14:solidFill>
          </w14:textFill>
        </w:rPr>
        <w:t>5.6</w:t>
      </w:r>
      <w:r>
        <w:rPr>
          <w:rFonts w:hint="eastAsia" w:ascii="仿宋" w:hAnsi="仿宋" w:eastAsia="仿宋" w:cs="仿宋"/>
          <w:color w:val="000000" w:themeColor="text1"/>
          <w:highlight w:val="none"/>
          <w14:textFill>
            <w14:solidFill>
              <w14:schemeClr w14:val="tx1"/>
            </w14:solidFill>
          </w14:textFill>
        </w:rPr>
        <w:t>%，出栏</w:t>
      </w:r>
      <w:r>
        <w:rPr>
          <w:rFonts w:hint="eastAsia" w:ascii="仿宋" w:hAnsi="仿宋" w:eastAsia="仿宋" w:cs="仿宋"/>
          <w:color w:val="000000" w:themeColor="text1"/>
          <w:highlight w:val="none"/>
          <w:lang w:val="en-US" w:eastAsia="zh-CN"/>
          <w14:textFill>
            <w14:solidFill>
              <w14:schemeClr w14:val="tx1"/>
            </w14:solidFill>
          </w14:textFill>
        </w:rPr>
        <w:t>4517</w:t>
      </w:r>
      <w:r>
        <w:rPr>
          <w:rFonts w:hint="eastAsia" w:ascii="仿宋" w:hAnsi="仿宋" w:eastAsia="仿宋" w:cs="仿宋"/>
          <w:color w:val="000000" w:themeColor="text1"/>
          <w:highlight w:val="none"/>
          <w14:textFill>
            <w14:solidFill>
              <w14:schemeClr w14:val="tx1"/>
            </w14:solidFill>
          </w14:textFill>
        </w:rPr>
        <w:t>头，</w:t>
      </w:r>
      <w:r>
        <w:rPr>
          <w:rFonts w:hint="eastAsia" w:ascii="仿宋" w:hAnsi="仿宋" w:eastAsia="仿宋" w:cs="仿宋"/>
          <w:color w:val="000000" w:themeColor="text1"/>
          <w:highlight w:val="none"/>
          <w:lang w:eastAsia="zh-CN"/>
          <w14:textFill>
            <w14:solidFill>
              <w14:schemeClr w14:val="tx1"/>
            </w14:solidFill>
          </w14:textFill>
        </w:rPr>
        <w:t>同比增长</w:t>
      </w:r>
      <w:r>
        <w:rPr>
          <w:rFonts w:hint="eastAsia" w:ascii="仿宋" w:hAnsi="仿宋" w:eastAsia="仿宋" w:cs="仿宋"/>
          <w:color w:val="000000" w:themeColor="text1"/>
          <w:highlight w:val="none"/>
          <w:lang w:val="en-US" w:eastAsia="zh-CN"/>
          <w14:textFill>
            <w14:solidFill>
              <w14:schemeClr w14:val="tx1"/>
            </w14:solidFill>
          </w14:textFill>
        </w:rPr>
        <w:t>48.1</w:t>
      </w:r>
      <w:r>
        <w:rPr>
          <w:rFonts w:hint="eastAsia" w:ascii="仿宋" w:hAnsi="仿宋" w:eastAsia="仿宋" w:cs="仿宋"/>
          <w:color w:val="000000" w:themeColor="text1"/>
          <w:highlight w:val="none"/>
          <w14:textFill>
            <w14:solidFill>
              <w14:schemeClr w14:val="tx1"/>
            </w14:solidFill>
          </w14:textFill>
        </w:rPr>
        <w:t>%；牛存栏</w:t>
      </w:r>
      <w:r>
        <w:rPr>
          <w:rFonts w:hint="eastAsia" w:ascii="仿宋" w:hAnsi="仿宋" w:eastAsia="仿宋" w:cs="仿宋"/>
          <w:color w:val="000000" w:themeColor="text1"/>
          <w:highlight w:val="none"/>
          <w:lang w:val="en-US" w:eastAsia="zh-CN"/>
          <w14:textFill>
            <w14:solidFill>
              <w14:schemeClr w14:val="tx1"/>
            </w14:solidFill>
          </w14:textFill>
        </w:rPr>
        <w:t>2400</w:t>
      </w:r>
      <w:r>
        <w:rPr>
          <w:rFonts w:hint="eastAsia" w:ascii="仿宋" w:hAnsi="仿宋" w:eastAsia="仿宋" w:cs="仿宋"/>
          <w:color w:val="000000" w:themeColor="text1"/>
          <w:highlight w:val="none"/>
          <w14:textFill>
            <w14:solidFill>
              <w14:schemeClr w14:val="tx1"/>
            </w14:solidFill>
          </w14:textFill>
        </w:rPr>
        <w:t>头，</w:t>
      </w:r>
      <w:r>
        <w:rPr>
          <w:rFonts w:hint="eastAsia" w:ascii="仿宋" w:hAnsi="仿宋" w:eastAsia="仿宋" w:cs="仿宋"/>
          <w:color w:val="000000" w:themeColor="text1"/>
          <w:highlight w:val="none"/>
          <w:lang w:eastAsia="zh-CN"/>
          <w14:textFill>
            <w14:solidFill>
              <w14:schemeClr w14:val="tx1"/>
            </w14:solidFill>
          </w14:textFill>
        </w:rPr>
        <w:t>同比增长</w:t>
      </w:r>
      <w:r>
        <w:rPr>
          <w:rFonts w:hint="eastAsia" w:ascii="仿宋" w:hAnsi="仿宋" w:eastAsia="仿宋" w:cs="仿宋"/>
          <w:color w:val="000000" w:themeColor="text1"/>
          <w:highlight w:val="none"/>
          <w:lang w:val="en-US" w:eastAsia="zh-CN"/>
          <w14:textFill>
            <w14:solidFill>
              <w14:schemeClr w14:val="tx1"/>
            </w14:solidFill>
          </w14:textFill>
        </w:rPr>
        <w:t>10.9</w:t>
      </w:r>
      <w:r>
        <w:rPr>
          <w:rFonts w:hint="eastAsia" w:ascii="仿宋" w:hAnsi="仿宋" w:eastAsia="仿宋" w:cs="仿宋"/>
          <w:color w:val="000000" w:themeColor="text1"/>
          <w:highlight w:val="none"/>
          <w14:textFill>
            <w14:solidFill>
              <w14:schemeClr w14:val="tx1"/>
            </w14:solidFill>
          </w14:textFill>
        </w:rPr>
        <w:t>%，出栏</w:t>
      </w:r>
      <w:r>
        <w:rPr>
          <w:rFonts w:hint="eastAsia" w:ascii="仿宋" w:hAnsi="仿宋" w:eastAsia="仿宋" w:cs="仿宋"/>
          <w:color w:val="000000" w:themeColor="text1"/>
          <w:highlight w:val="none"/>
          <w:lang w:val="en-US" w:eastAsia="zh-CN"/>
          <w14:textFill>
            <w14:solidFill>
              <w14:schemeClr w14:val="tx1"/>
            </w14:solidFill>
          </w14:textFill>
        </w:rPr>
        <w:t>1250</w:t>
      </w:r>
      <w:r>
        <w:rPr>
          <w:rFonts w:hint="eastAsia" w:ascii="仿宋" w:hAnsi="仿宋" w:eastAsia="仿宋" w:cs="仿宋"/>
          <w:color w:val="000000" w:themeColor="text1"/>
          <w:highlight w:val="none"/>
          <w14:textFill>
            <w14:solidFill>
              <w14:schemeClr w14:val="tx1"/>
            </w14:solidFill>
          </w14:textFill>
        </w:rPr>
        <w:t>头，</w:t>
      </w:r>
      <w:r>
        <w:rPr>
          <w:rFonts w:hint="eastAsia" w:ascii="仿宋" w:hAnsi="仿宋" w:eastAsia="仿宋" w:cs="仿宋"/>
          <w:color w:val="000000" w:themeColor="text1"/>
          <w:highlight w:val="none"/>
          <w:lang w:eastAsia="zh-CN"/>
          <w14:textFill>
            <w14:solidFill>
              <w14:schemeClr w14:val="tx1"/>
            </w14:solidFill>
          </w14:textFill>
        </w:rPr>
        <w:t>同比增长</w:t>
      </w:r>
      <w:r>
        <w:rPr>
          <w:rFonts w:hint="eastAsia" w:ascii="仿宋" w:hAnsi="仿宋" w:eastAsia="仿宋" w:cs="仿宋"/>
          <w:color w:val="000000" w:themeColor="text1"/>
          <w:highlight w:val="none"/>
          <w:lang w:val="en-US" w:eastAsia="zh-CN"/>
          <w14:textFill>
            <w14:solidFill>
              <w14:schemeClr w14:val="tx1"/>
            </w14:solidFill>
          </w14:textFill>
        </w:rPr>
        <w:t>19.4%</w:t>
      </w:r>
      <w:r>
        <w:rPr>
          <w:rFonts w:hint="eastAsia" w:ascii="仿宋" w:hAnsi="仿宋" w:eastAsia="仿宋" w:cs="仿宋"/>
          <w:color w:val="000000" w:themeColor="text1"/>
          <w:highlight w:val="none"/>
          <w14:textFill>
            <w14:solidFill>
              <w14:schemeClr w14:val="tx1"/>
            </w14:solidFill>
          </w14:textFill>
        </w:rPr>
        <w:t>；羊存栏</w:t>
      </w:r>
      <w:r>
        <w:rPr>
          <w:rFonts w:hint="eastAsia" w:ascii="仿宋" w:hAnsi="仿宋" w:eastAsia="仿宋" w:cs="仿宋"/>
          <w:color w:val="000000" w:themeColor="text1"/>
          <w:highlight w:val="none"/>
          <w:lang w:val="en-US" w:eastAsia="zh-CN"/>
          <w14:textFill>
            <w14:solidFill>
              <w14:schemeClr w14:val="tx1"/>
            </w14:solidFill>
          </w14:textFill>
        </w:rPr>
        <w:t>595</w:t>
      </w:r>
      <w:r>
        <w:rPr>
          <w:rFonts w:hint="eastAsia" w:ascii="仿宋" w:hAnsi="仿宋" w:eastAsia="仿宋" w:cs="仿宋"/>
          <w:color w:val="000000" w:themeColor="text1"/>
          <w:highlight w:val="none"/>
          <w14:textFill>
            <w14:solidFill>
              <w14:schemeClr w14:val="tx1"/>
            </w14:solidFill>
          </w14:textFill>
        </w:rPr>
        <w:t>只，</w:t>
      </w:r>
      <w:r>
        <w:rPr>
          <w:rFonts w:hint="eastAsia" w:ascii="仿宋" w:hAnsi="仿宋" w:eastAsia="仿宋" w:cs="仿宋"/>
          <w:color w:val="000000" w:themeColor="text1"/>
          <w:highlight w:val="none"/>
          <w:lang w:eastAsia="zh-CN"/>
          <w14:textFill>
            <w14:solidFill>
              <w14:schemeClr w14:val="tx1"/>
            </w14:solidFill>
          </w14:textFill>
        </w:rPr>
        <w:t>同比增长</w:t>
      </w:r>
      <w:r>
        <w:rPr>
          <w:rFonts w:hint="eastAsia" w:ascii="仿宋" w:hAnsi="仿宋" w:eastAsia="仿宋" w:cs="仿宋"/>
          <w:color w:val="000000" w:themeColor="text1"/>
          <w:highlight w:val="none"/>
          <w:lang w:val="en-US" w:eastAsia="zh-CN"/>
          <w14:textFill>
            <w14:solidFill>
              <w14:schemeClr w14:val="tx1"/>
            </w14:solidFill>
          </w14:textFill>
        </w:rPr>
        <w:t>12.3</w:t>
      </w:r>
      <w:r>
        <w:rPr>
          <w:rFonts w:hint="eastAsia" w:ascii="仿宋" w:hAnsi="仿宋" w:eastAsia="仿宋" w:cs="仿宋"/>
          <w:color w:val="000000" w:themeColor="text1"/>
          <w:highlight w:val="none"/>
          <w14:textFill>
            <w14:solidFill>
              <w14:schemeClr w14:val="tx1"/>
            </w14:solidFill>
          </w14:textFill>
        </w:rPr>
        <w:t>%，出栏</w:t>
      </w:r>
      <w:r>
        <w:rPr>
          <w:rFonts w:hint="eastAsia" w:ascii="仿宋" w:hAnsi="仿宋" w:eastAsia="仿宋" w:cs="仿宋"/>
          <w:color w:val="000000" w:themeColor="text1"/>
          <w:highlight w:val="none"/>
          <w:lang w:val="en-US" w:eastAsia="zh-CN"/>
          <w14:textFill>
            <w14:solidFill>
              <w14:schemeClr w14:val="tx1"/>
            </w14:solidFill>
          </w14:textFill>
        </w:rPr>
        <w:t>653</w:t>
      </w:r>
      <w:r>
        <w:rPr>
          <w:rFonts w:hint="eastAsia" w:ascii="仿宋" w:hAnsi="仿宋" w:eastAsia="仿宋" w:cs="仿宋"/>
          <w:color w:val="000000" w:themeColor="text1"/>
          <w:highlight w:val="none"/>
          <w14:textFill>
            <w14:solidFill>
              <w14:schemeClr w14:val="tx1"/>
            </w14:solidFill>
          </w14:textFill>
        </w:rPr>
        <w:t>只，</w:t>
      </w:r>
      <w:r>
        <w:rPr>
          <w:rFonts w:hint="eastAsia" w:ascii="仿宋" w:hAnsi="仿宋" w:eastAsia="仿宋" w:cs="仿宋"/>
          <w:color w:val="000000" w:themeColor="text1"/>
          <w:highlight w:val="none"/>
          <w:lang w:eastAsia="zh-CN"/>
          <w14:textFill>
            <w14:solidFill>
              <w14:schemeClr w14:val="tx1"/>
            </w14:solidFill>
          </w14:textFill>
        </w:rPr>
        <w:t>同比增长</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%；家禽存栏</w:t>
      </w:r>
      <w:r>
        <w:rPr>
          <w:rFonts w:hint="eastAsia" w:ascii="仿宋" w:hAnsi="仿宋" w:eastAsia="仿宋" w:cs="仿宋"/>
          <w:color w:val="000000" w:themeColor="text1"/>
          <w:highlight w:val="none"/>
          <w:lang w:val="en-US" w:eastAsia="zh-CN"/>
          <w14:textFill>
            <w14:solidFill>
              <w14:schemeClr w14:val="tx1"/>
            </w14:solidFill>
          </w14:textFill>
        </w:rPr>
        <w:t>26.2</w:t>
      </w:r>
      <w:r>
        <w:rPr>
          <w:rFonts w:hint="eastAsia" w:ascii="仿宋" w:hAnsi="仿宋" w:eastAsia="仿宋" w:cs="仿宋"/>
          <w:color w:val="000000" w:themeColor="text1"/>
          <w:highlight w:val="none"/>
          <w14:textFill>
            <w14:solidFill>
              <w14:schemeClr w14:val="tx1"/>
            </w14:solidFill>
          </w14:textFill>
        </w:rPr>
        <w:t>千只，</w:t>
      </w:r>
      <w:r>
        <w:rPr>
          <w:rFonts w:hint="eastAsia" w:ascii="仿宋" w:hAnsi="仿宋" w:eastAsia="仿宋" w:cs="仿宋"/>
          <w:color w:val="000000" w:themeColor="text1"/>
          <w:highlight w:val="none"/>
          <w:lang w:eastAsia="zh-CN"/>
          <w14:textFill>
            <w14:solidFill>
              <w14:schemeClr w14:val="tx1"/>
            </w14:solidFill>
          </w14:textFill>
        </w:rPr>
        <w:t>同比下降</w:t>
      </w:r>
      <w:r>
        <w:rPr>
          <w:rFonts w:hint="eastAsia" w:ascii="仿宋" w:hAnsi="仿宋" w:eastAsia="仿宋" w:cs="仿宋"/>
          <w:color w:val="000000" w:themeColor="text1"/>
          <w:highlight w:val="none"/>
          <w:lang w:val="en-US" w:eastAsia="zh-CN"/>
          <w14:textFill>
            <w14:solidFill>
              <w14:schemeClr w14:val="tx1"/>
            </w14:solidFill>
          </w14:textFill>
        </w:rPr>
        <w:t>增长0.2</w:t>
      </w:r>
      <w:r>
        <w:rPr>
          <w:rFonts w:hint="eastAsia" w:ascii="仿宋" w:hAnsi="仿宋" w:eastAsia="仿宋" w:cs="仿宋"/>
          <w:color w:val="000000" w:themeColor="text1"/>
          <w:highlight w:val="none"/>
          <w14:textFill>
            <w14:solidFill>
              <w14:schemeClr w14:val="tx1"/>
            </w14:solidFill>
          </w14:textFill>
        </w:rPr>
        <w:t>%，出栏</w:t>
      </w:r>
      <w:r>
        <w:rPr>
          <w:rFonts w:hint="eastAsia" w:ascii="仿宋" w:hAnsi="仿宋" w:eastAsia="仿宋" w:cs="仿宋"/>
          <w:color w:val="000000" w:themeColor="text1"/>
          <w:highlight w:val="none"/>
          <w:lang w:val="en-US" w:eastAsia="zh-CN"/>
          <w14:textFill>
            <w14:solidFill>
              <w14:schemeClr w14:val="tx1"/>
            </w14:solidFill>
          </w14:textFill>
        </w:rPr>
        <w:t>18.7</w:t>
      </w:r>
      <w:r>
        <w:rPr>
          <w:rFonts w:hint="eastAsia" w:ascii="仿宋" w:hAnsi="仿宋" w:eastAsia="仿宋" w:cs="仿宋"/>
          <w:color w:val="000000" w:themeColor="text1"/>
          <w:highlight w:val="none"/>
          <w14:textFill>
            <w14:solidFill>
              <w14:schemeClr w14:val="tx1"/>
            </w14:solidFill>
          </w14:textFill>
        </w:rPr>
        <w:t>千只，</w:t>
      </w:r>
      <w:r>
        <w:rPr>
          <w:rFonts w:hint="eastAsia" w:ascii="仿宋" w:hAnsi="仿宋" w:eastAsia="仿宋" w:cs="仿宋"/>
          <w:color w:val="000000" w:themeColor="text1"/>
          <w:highlight w:val="none"/>
          <w:lang w:eastAsia="zh-CN"/>
          <w14:textFill>
            <w14:solidFill>
              <w14:schemeClr w14:val="tx1"/>
            </w14:solidFill>
          </w14:textFill>
        </w:rPr>
        <w:t>同比增长</w:t>
      </w:r>
      <w:r>
        <w:rPr>
          <w:rFonts w:hint="eastAsia" w:ascii="仿宋" w:hAnsi="仿宋" w:eastAsia="仿宋" w:cs="仿宋"/>
          <w:color w:val="000000" w:themeColor="text1"/>
          <w:highlight w:val="none"/>
          <w:lang w:val="en-US" w:eastAsia="zh-CN"/>
          <w14:textFill>
            <w14:solidFill>
              <w14:schemeClr w14:val="tx1"/>
            </w14:solidFill>
          </w14:textFill>
        </w:rPr>
        <w:t>5.7</w:t>
      </w:r>
      <w:r>
        <w:rPr>
          <w:rFonts w:hint="eastAsia" w:ascii="仿宋" w:hAnsi="仿宋" w:eastAsia="仿宋" w:cs="仿宋"/>
          <w:color w:val="000000" w:themeColor="text1"/>
          <w:highlight w:val="none"/>
          <w14:textFill>
            <w14:solidFill>
              <w14:schemeClr w14:val="tx1"/>
            </w14:solidFill>
          </w14:textFill>
        </w:rPr>
        <w:t>%。</w:t>
      </w:r>
    </w:p>
    <w:p w14:paraId="595E7D1C">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肉类总产量</w:t>
      </w:r>
      <w:r>
        <w:rPr>
          <w:rFonts w:hint="eastAsia" w:ascii="仿宋" w:hAnsi="仿宋" w:eastAsia="仿宋" w:cs="仿宋"/>
          <w:color w:val="000000" w:themeColor="text1"/>
          <w:highlight w:val="none"/>
          <w:lang w:val="en-US" w:eastAsia="zh-CN"/>
          <w14:textFill>
            <w14:solidFill>
              <w14:schemeClr w14:val="tx1"/>
            </w14:solidFill>
          </w14:textFill>
        </w:rPr>
        <w:t>712.3</w:t>
      </w:r>
      <w:r>
        <w:rPr>
          <w:rFonts w:hint="eastAsia" w:ascii="仿宋" w:hAnsi="仿宋" w:eastAsia="仿宋" w:cs="仿宋"/>
          <w:color w:val="000000" w:themeColor="text1"/>
          <w:highlight w:val="none"/>
          <w14:textFill>
            <w14:solidFill>
              <w14:schemeClr w14:val="tx1"/>
            </w14:solidFill>
          </w14:textFill>
        </w:rPr>
        <w:t>吨，</w:t>
      </w:r>
      <w:r>
        <w:rPr>
          <w:rFonts w:hint="eastAsia" w:ascii="仿宋" w:hAnsi="仿宋" w:eastAsia="仿宋" w:cs="仿宋"/>
          <w:color w:val="000000" w:themeColor="text1"/>
          <w:highlight w:val="none"/>
          <w:lang w:eastAsia="zh-CN"/>
          <w14:textFill>
            <w14:solidFill>
              <w14:schemeClr w14:val="tx1"/>
            </w14:solidFill>
          </w14:textFill>
        </w:rPr>
        <w:t>同比增长</w:t>
      </w:r>
      <w:r>
        <w:rPr>
          <w:rFonts w:hint="eastAsia" w:ascii="仿宋" w:hAnsi="仿宋" w:eastAsia="仿宋" w:cs="仿宋"/>
          <w:color w:val="000000" w:themeColor="text1"/>
          <w:highlight w:val="none"/>
          <w:lang w:val="en-US" w:eastAsia="zh-CN"/>
          <w14:textFill>
            <w14:solidFill>
              <w14:schemeClr w14:val="tx1"/>
            </w14:solidFill>
          </w14:textFill>
        </w:rPr>
        <w:t>58.9</w:t>
      </w:r>
      <w:r>
        <w:rPr>
          <w:rFonts w:hint="eastAsia" w:ascii="仿宋" w:hAnsi="仿宋" w:eastAsia="仿宋" w:cs="仿宋"/>
          <w:color w:val="000000" w:themeColor="text1"/>
          <w:highlight w:val="none"/>
          <w14:textFill>
            <w14:solidFill>
              <w14:schemeClr w14:val="tx1"/>
            </w14:solidFill>
          </w14:textFill>
        </w:rPr>
        <w:t>%。其中，猪肉产量</w:t>
      </w:r>
      <w:r>
        <w:rPr>
          <w:rFonts w:hint="eastAsia" w:ascii="仿宋" w:hAnsi="仿宋" w:eastAsia="仿宋" w:cs="仿宋"/>
          <w:color w:val="000000" w:themeColor="text1"/>
          <w:highlight w:val="none"/>
          <w:lang w:val="en-US" w:eastAsia="zh-CN"/>
          <w14:textFill>
            <w14:solidFill>
              <w14:schemeClr w14:val="tx1"/>
            </w14:solidFill>
          </w14:textFill>
        </w:rPr>
        <w:t>406.6</w:t>
      </w:r>
      <w:r>
        <w:rPr>
          <w:rFonts w:hint="eastAsia" w:ascii="仿宋" w:hAnsi="仿宋" w:eastAsia="仿宋" w:cs="仿宋"/>
          <w:color w:val="000000" w:themeColor="text1"/>
          <w:highlight w:val="none"/>
          <w14:textFill>
            <w14:solidFill>
              <w14:schemeClr w14:val="tx1"/>
            </w14:solidFill>
          </w14:textFill>
        </w:rPr>
        <w:t>吨，</w:t>
      </w:r>
      <w:r>
        <w:rPr>
          <w:rFonts w:hint="eastAsia" w:ascii="仿宋" w:hAnsi="仿宋" w:eastAsia="仿宋" w:cs="仿宋"/>
          <w:color w:val="000000" w:themeColor="text1"/>
          <w:highlight w:val="none"/>
          <w:lang w:eastAsia="zh-CN"/>
          <w14:textFill>
            <w14:solidFill>
              <w14:schemeClr w14:val="tx1"/>
            </w14:solidFill>
          </w14:textFill>
        </w:rPr>
        <w:t>同比增长</w:t>
      </w:r>
      <w:r>
        <w:rPr>
          <w:rFonts w:hint="eastAsia" w:ascii="仿宋" w:hAnsi="仿宋" w:eastAsia="仿宋" w:cs="仿宋"/>
          <w:color w:val="000000" w:themeColor="text1"/>
          <w:highlight w:val="none"/>
          <w:lang w:val="en-US" w:eastAsia="zh-CN"/>
          <w14:textFill>
            <w14:solidFill>
              <w14:schemeClr w14:val="tx1"/>
            </w14:solidFill>
          </w14:textFill>
        </w:rPr>
        <w:t>48.1</w:t>
      </w:r>
      <w:r>
        <w:rPr>
          <w:rFonts w:hint="eastAsia" w:ascii="仿宋" w:hAnsi="仿宋" w:eastAsia="仿宋" w:cs="仿宋"/>
          <w:color w:val="000000" w:themeColor="text1"/>
          <w:highlight w:val="none"/>
          <w14:textFill>
            <w14:solidFill>
              <w14:schemeClr w14:val="tx1"/>
            </w14:solidFill>
          </w14:textFill>
        </w:rPr>
        <w:t>%；牛肉产量</w:t>
      </w:r>
      <w:r>
        <w:rPr>
          <w:rFonts w:hint="eastAsia" w:ascii="仿宋" w:hAnsi="仿宋" w:eastAsia="仿宋" w:cs="仿宋"/>
          <w:color w:val="000000" w:themeColor="text1"/>
          <w:highlight w:val="none"/>
          <w:lang w:val="en-US" w:eastAsia="zh-CN"/>
          <w14:textFill>
            <w14:solidFill>
              <w14:schemeClr w14:val="tx1"/>
            </w14:solidFill>
          </w14:textFill>
        </w:rPr>
        <w:t>249.2</w:t>
      </w:r>
      <w:r>
        <w:rPr>
          <w:rFonts w:hint="eastAsia" w:ascii="仿宋" w:hAnsi="仿宋" w:eastAsia="仿宋" w:cs="仿宋"/>
          <w:color w:val="000000" w:themeColor="text1"/>
          <w:highlight w:val="none"/>
          <w14:textFill>
            <w14:solidFill>
              <w14:schemeClr w14:val="tx1"/>
            </w14:solidFill>
          </w14:textFill>
        </w:rPr>
        <w:t>吨，</w:t>
      </w:r>
      <w:r>
        <w:rPr>
          <w:rFonts w:hint="eastAsia" w:ascii="仿宋" w:hAnsi="仿宋" w:eastAsia="仿宋" w:cs="仿宋"/>
          <w:color w:val="000000" w:themeColor="text1"/>
          <w:highlight w:val="none"/>
          <w:lang w:eastAsia="zh-CN"/>
          <w14:textFill>
            <w14:solidFill>
              <w14:schemeClr w14:val="tx1"/>
            </w14:solidFill>
          </w14:textFill>
        </w:rPr>
        <w:t>同比增长</w:t>
      </w:r>
      <w:r>
        <w:rPr>
          <w:rFonts w:hint="eastAsia" w:ascii="仿宋" w:hAnsi="仿宋" w:eastAsia="仿宋" w:cs="仿宋"/>
          <w:color w:val="000000" w:themeColor="text1"/>
          <w:highlight w:val="none"/>
          <w:lang w:val="en-US" w:eastAsia="zh-CN"/>
          <w14:textFill>
            <w14:solidFill>
              <w14:schemeClr w14:val="tx1"/>
            </w14:solidFill>
          </w14:textFill>
        </w:rPr>
        <w:t>100.2</w:t>
      </w:r>
      <w:r>
        <w:rPr>
          <w:rFonts w:hint="eastAsia" w:ascii="仿宋" w:hAnsi="仿宋" w:eastAsia="仿宋" w:cs="仿宋"/>
          <w:color w:val="000000" w:themeColor="text1"/>
          <w:highlight w:val="none"/>
          <w14:textFill>
            <w14:solidFill>
              <w14:schemeClr w14:val="tx1"/>
            </w14:solidFill>
          </w14:textFill>
        </w:rPr>
        <w:t>%；羊肉产量</w:t>
      </w:r>
      <w:r>
        <w:rPr>
          <w:rFonts w:hint="eastAsia" w:ascii="仿宋" w:hAnsi="仿宋" w:eastAsia="仿宋" w:cs="仿宋"/>
          <w:color w:val="000000" w:themeColor="text1"/>
          <w:highlight w:val="none"/>
          <w:lang w:val="en-US" w:eastAsia="zh-CN"/>
          <w14:textFill>
            <w14:solidFill>
              <w14:schemeClr w14:val="tx1"/>
            </w14:solidFill>
          </w14:textFill>
        </w:rPr>
        <w:t>13.1</w:t>
      </w:r>
      <w:r>
        <w:rPr>
          <w:rFonts w:hint="eastAsia" w:ascii="仿宋" w:hAnsi="仿宋" w:eastAsia="仿宋" w:cs="仿宋"/>
          <w:color w:val="000000" w:themeColor="text1"/>
          <w:highlight w:val="none"/>
          <w14:textFill>
            <w14:solidFill>
              <w14:schemeClr w14:val="tx1"/>
            </w14:solidFill>
          </w14:textFill>
        </w:rPr>
        <w:t>吨，</w:t>
      </w:r>
      <w:r>
        <w:rPr>
          <w:rFonts w:hint="eastAsia" w:ascii="仿宋" w:hAnsi="仿宋" w:eastAsia="仿宋" w:cs="仿宋"/>
          <w:color w:val="000000" w:themeColor="text1"/>
          <w:highlight w:val="none"/>
          <w:lang w:eastAsia="zh-CN"/>
          <w14:textFill>
            <w14:solidFill>
              <w14:schemeClr w14:val="tx1"/>
            </w14:solidFill>
          </w14:textFill>
        </w:rPr>
        <w:t>同比增长</w:t>
      </w:r>
      <w:r>
        <w:rPr>
          <w:rFonts w:hint="eastAsia" w:ascii="仿宋" w:hAnsi="仿宋" w:eastAsia="仿宋" w:cs="仿宋"/>
          <w:color w:val="000000" w:themeColor="text1"/>
          <w:highlight w:val="none"/>
          <w:lang w:val="en-US" w:eastAsia="zh-CN"/>
          <w14:textFill>
            <w14:solidFill>
              <w14:schemeClr w14:val="tx1"/>
            </w14:solidFill>
          </w14:textFill>
        </w:rPr>
        <w:t>0.8</w:t>
      </w:r>
      <w:r>
        <w:rPr>
          <w:rFonts w:hint="eastAsia" w:ascii="仿宋" w:hAnsi="仿宋" w:eastAsia="仿宋" w:cs="仿宋"/>
          <w:color w:val="000000" w:themeColor="text1"/>
          <w:highlight w:val="none"/>
          <w14:textFill>
            <w14:solidFill>
              <w14:schemeClr w14:val="tx1"/>
            </w14:solidFill>
          </w14:textFill>
        </w:rPr>
        <w:t>%；禽肉产量</w:t>
      </w:r>
      <w:r>
        <w:rPr>
          <w:rFonts w:hint="eastAsia" w:ascii="仿宋" w:hAnsi="仿宋" w:eastAsia="仿宋" w:cs="仿宋"/>
          <w:color w:val="000000" w:themeColor="text1"/>
          <w:highlight w:val="none"/>
          <w:lang w:val="en-US" w:eastAsia="zh-CN"/>
          <w14:textFill>
            <w14:solidFill>
              <w14:schemeClr w14:val="tx1"/>
            </w14:solidFill>
          </w14:textFill>
        </w:rPr>
        <w:t>43.4</w:t>
      </w:r>
      <w:r>
        <w:rPr>
          <w:rFonts w:hint="eastAsia" w:ascii="仿宋" w:hAnsi="仿宋" w:eastAsia="仿宋" w:cs="仿宋"/>
          <w:color w:val="000000" w:themeColor="text1"/>
          <w:highlight w:val="none"/>
          <w14:textFill>
            <w14:solidFill>
              <w14:schemeClr w14:val="tx1"/>
            </w14:solidFill>
          </w14:textFill>
        </w:rPr>
        <w:t>吨，</w:t>
      </w:r>
      <w:r>
        <w:rPr>
          <w:rFonts w:hint="eastAsia" w:ascii="仿宋" w:hAnsi="仿宋" w:eastAsia="仿宋" w:cs="仿宋"/>
          <w:color w:val="000000" w:themeColor="text1"/>
          <w:highlight w:val="none"/>
          <w:lang w:eastAsia="zh-CN"/>
          <w14:textFill>
            <w14:solidFill>
              <w14:schemeClr w14:val="tx1"/>
            </w14:solidFill>
          </w14:textFill>
        </w:rPr>
        <w:t>同比增长</w:t>
      </w:r>
      <w:r>
        <w:rPr>
          <w:rFonts w:hint="eastAsia" w:ascii="仿宋" w:hAnsi="仿宋" w:eastAsia="仿宋" w:cs="仿宋"/>
          <w:color w:val="000000" w:themeColor="text1"/>
          <w:highlight w:val="none"/>
          <w:lang w:val="en-US" w:eastAsia="zh-CN"/>
          <w14:textFill>
            <w14:solidFill>
              <w14:schemeClr w14:val="tx1"/>
            </w14:solidFill>
          </w14:textFill>
        </w:rPr>
        <w:t>20.1</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禽蛋产量</w:t>
      </w:r>
      <w:r>
        <w:rPr>
          <w:rFonts w:hint="eastAsia" w:ascii="仿宋" w:hAnsi="仿宋" w:eastAsia="仿宋" w:cs="仿宋"/>
          <w:color w:val="000000" w:themeColor="text1"/>
          <w:highlight w:val="none"/>
          <w:lang w:val="en-US" w:eastAsia="zh-CN"/>
          <w14:textFill>
            <w14:solidFill>
              <w14:schemeClr w14:val="tx1"/>
            </w14:solidFill>
          </w14:textFill>
        </w:rPr>
        <w:t>106.9吨，同比下降30.7%。生牛奶产量569.8吨，同比增长0.1%。</w:t>
      </w:r>
    </w:p>
    <w:p w14:paraId="0E65455E">
      <w:pPr>
        <w:pStyle w:val="2"/>
        <w:rPr>
          <w:highlight w:val="none"/>
        </w:rPr>
      </w:pPr>
      <w:r>
        <w:rPr>
          <w:rFonts w:hint="eastAsia"/>
          <w:highlight w:val="none"/>
        </w:rPr>
        <w:t>三、工业</w:t>
      </w:r>
    </w:p>
    <w:p w14:paraId="6B99A55B">
      <w:pPr>
        <w:rPr>
          <w:rFonts w:hint="eastAsia" w:ascii="仿宋" w:eastAsia="仿宋" w:cs="仿宋"/>
          <w:color w:val="000000" w:themeColor="text1"/>
          <w:highlight w:val="none"/>
          <w:lang w:val="en-US" w:eastAsia="zh-CN"/>
          <w14:textFill>
            <w14:solidFill>
              <w14:schemeClr w14:val="tx1"/>
            </w14:solidFill>
          </w14:textFill>
        </w:rPr>
      </w:pPr>
      <w:r>
        <w:rPr>
          <w:rFonts w:hint="eastAsia" w:ascii="仿宋" w:eastAsia="仿宋" w:cs="仿宋"/>
          <w:color w:val="000000" w:themeColor="text1"/>
          <w:highlight w:val="none"/>
          <w:lang w:val="en-US" w:eastAsia="zh-CN"/>
          <w14:textFill>
            <w14:solidFill>
              <w14:schemeClr w14:val="tx1"/>
            </w14:solidFill>
          </w14:textFill>
        </w:rPr>
        <w:t>2024年，朝阳区认真贯彻落实稳增长决策部署，坚持稳中求进的总基调，完整、准确、全面贯彻新发展理念，主动服务和融入新发展格局，全区工业经济保持韧性，但受供需矛盾和内外部复杂环境的影响，主要经济体增长下行压力明显，负重前行。</w:t>
      </w:r>
    </w:p>
    <w:p w14:paraId="77B475AC">
      <w:pPr>
        <w:rPr>
          <w:rFonts w:hint="eastAsia" w:ascii="仿宋" w:eastAsia="仿宋" w:cs="仿宋"/>
          <w:color w:val="000000" w:themeColor="text1"/>
          <w:highlight w:val="none"/>
          <w:lang w:val="en-US" w:eastAsia="zh-CN"/>
          <w14:textFill>
            <w14:solidFill>
              <w14:schemeClr w14:val="tx1"/>
            </w14:solidFill>
          </w14:textFill>
        </w:rPr>
      </w:pPr>
      <w:r>
        <w:rPr>
          <w:rFonts w:hint="eastAsia" w:ascii="仿宋" w:eastAsia="仿宋" w:cs="仿宋"/>
          <w:color w:val="000000" w:themeColor="text1"/>
          <w:highlight w:val="none"/>
          <w:lang w:val="en-US" w:eastAsia="zh-CN"/>
          <w14:textFill>
            <w14:solidFill>
              <w14:schemeClr w14:val="tx1"/>
            </w14:solidFill>
          </w14:textFill>
        </w:rPr>
        <w:t>2024年1-12月，朝阳区实现规模以上工业总产值738.4亿元，同比下降2%。增速比上年回落2.2个百分点，规模以上工业产值总量领跑五城区。分产业看，能源产业总产值537.9亿元，比上年同期下降0.8%；汽车制造业总产值178.9亿元，比上年同期下降4.7%。</w:t>
      </w:r>
    </w:p>
    <w:p w14:paraId="525DB924">
      <w:pPr>
        <w:rPr>
          <w:rFonts w:hint="eastAsia" w:ascii="仿宋" w:eastAsia="仿宋" w:cs="仿宋"/>
          <w:color w:val="000000" w:themeColor="text1"/>
          <w:highlight w:val="none"/>
          <w:lang w:val="en-US" w:eastAsia="zh-CN"/>
          <w14:textFill>
            <w14:solidFill>
              <w14:schemeClr w14:val="tx1"/>
            </w14:solidFill>
          </w14:textFill>
        </w:rPr>
      </w:pPr>
      <w:r>
        <w:rPr>
          <w:rFonts w:hint="eastAsia" w:ascii="仿宋" w:eastAsia="仿宋" w:cs="仿宋"/>
          <w:color w:val="000000" w:themeColor="text1"/>
          <w:highlight w:val="none"/>
          <w:lang w:val="en-US" w:eastAsia="zh-CN"/>
          <w14:textFill>
            <w14:solidFill>
              <w14:schemeClr w14:val="tx1"/>
            </w14:solidFill>
          </w14:textFill>
        </w:rPr>
        <w:t>从行业分类看，朝阳区规模以上工业分布在14个行业中，规模以上工业产值增速“七升七降”。</w:t>
      </w:r>
    </w:p>
    <w:p w14:paraId="5A5A70C9">
      <w:pPr>
        <w:tabs>
          <w:tab w:val="left" w:pos="497"/>
        </w:tabs>
        <w:jc w:val="center"/>
        <w:rPr>
          <w:rFonts w:hint="eastAsia" w:ascii="仿宋" w:eastAsia="仿宋" w:cs="仿宋"/>
          <w:b w:val="0"/>
          <w:bCs w:val="0"/>
          <w:color w:val="000000" w:themeColor="text1"/>
          <w:sz w:val="30"/>
          <w:szCs w:val="30"/>
          <w:highlight w:val="none"/>
          <w:lang w:val="en-US" w:eastAsia="zh-CN"/>
          <w14:textFill>
            <w14:solidFill>
              <w14:schemeClr w14:val="tx1"/>
            </w14:solidFill>
          </w14:textFill>
        </w:rPr>
      </w:pPr>
      <w:r>
        <w:rPr>
          <w:rFonts w:hint="eastAsia" w:ascii="宋体" w:eastAsia="宋体" w:cs="宋体"/>
          <w:b/>
          <w:bCs/>
          <w:color w:val="000000" w:themeColor="text1"/>
          <w:sz w:val="28"/>
          <w:szCs w:val="28"/>
          <w:highlight w:val="none"/>
          <w:lang w:val="en-US" w:eastAsia="zh-CN"/>
          <w14:textFill>
            <w14:solidFill>
              <w14:schemeClr w14:val="tx1"/>
            </w14:solidFill>
          </w14:textFill>
        </w:rPr>
        <w:t>2024年朝阳区规模以上工业产值各行业完成情况</w:t>
      </w:r>
    </w:p>
    <w:tbl>
      <w:tblPr>
        <w:tblStyle w:val="10"/>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3555"/>
      </w:tblGrid>
      <w:tr w14:paraId="181E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vAlign w:val="center"/>
          </w:tcPr>
          <w:p w14:paraId="3ADBFA92">
            <w:pPr>
              <w:tabs>
                <w:tab w:val="left" w:pos="497"/>
              </w:tabs>
              <w:spacing w:line="360" w:lineRule="auto"/>
              <w:jc w:val="center"/>
              <w:rPr>
                <w:rFonts w:hint="eastAsia" w:asci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eastAsia="宋体" w:cs="宋体"/>
                <w:b/>
                <w:bCs/>
                <w:color w:val="000000" w:themeColor="text1"/>
                <w:sz w:val="24"/>
                <w:szCs w:val="24"/>
                <w:highlight w:val="none"/>
                <w:vertAlign w:val="baseline"/>
                <w:lang w:val="en-US" w:eastAsia="zh-CN"/>
                <w14:textFill>
                  <w14:solidFill>
                    <w14:schemeClr w14:val="tx1"/>
                  </w14:solidFill>
                </w14:textFill>
              </w:rPr>
              <w:t>行 业 名 称</w:t>
            </w:r>
          </w:p>
        </w:tc>
        <w:tc>
          <w:tcPr>
            <w:tcW w:w="3555" w:type="dxa"/>
            <w:tcBorders>
              <w:right w:val="nil"/>
            </w:tcBorders>
            <w:vAlign w:val="center"/>
          </w:tcPr>
          <w:p w14:paraId="455BD0A4">
            <w:pPr>
              <w:tabs>
                <w:tab w:val="left" w:pos="497"/>
              </w:tabs>
              <w:spacing w:line="360" w:lineRule="auto"/>
              <w:jc w:val="center"/>
              <w:rPr>
                <w:rFonts w:hint="eastAsia" w:asci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eastAsia="宋体" w:cs="宋体"/>
                <w:b/>
                <w:bCs/>
                <w:color w:val="000000" w:themeColor="text1"/>
                <w:sz w:val="24"/>
                <w:szCs w:val="24"/>
                <w:highlight w:val="none"/>
                <w:vertAlign w:val="baseline"/>
                <w:lang w:val="en-US" w:eastAsia="zh-CN"/>
                <w14:textFill>
                  <w14:solidFill>
                    <w14:schemeClr w14:val="tx1"/>
                  </w14:solidFill>
                </w14:textFill>
              </w:rPr>
              <w:t>同 比 增 速（%）</w:t>
            </w:r>
          </w:p>
        </w:tc>
      </w:tr>
      <w:tr w14:paraId="2206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60F04F7F">
            <w:pPr>
              <w:tabs>
                <w:tab w:val="left" w:pos="497"/>
              </w:tabs>
              <w:spacing w:line="360" w:lineRule="auto"/>
              <w:jc w:val="both"/>
              <w:rPr>
                <w:rFonts w:hint="eastAsia" w:asci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eastAsia="仿宋" w:cs="仿宋"/>
                <w:b/>
                <w:bCs/>
                <w:color w:val="000000" w:themeColor="text1"/>
                <w:sz w:val="24"/>
                <w:szCs w:val="24"/>
                <w:highlight w:val="none"/>
                <w:vertAlign w:val="baseline"/>
                <w:lang w:val="en-US" w:eastAsia="zh-CN"/>
                <w14:textFill>
                  <w14:solidFill>
                    <w14:schemeClr w14:val="tx1"/>
                  </w14:solidFill>
                </w14:textFill>
              </w:rPr>
              <w:t>全区总计</w:t>
            </w:r>
          </w:p>
        </w:tc>
        <w:tc>
          <w:tcPr>
            <w:tcW w:w="3555" w:type="dxa"/>
            <w:tcBorders>
              <w:right w:val="nil"/>
            </w:tcBorders>
          </w:tcPr>
          <w:p w14:paraId="27422344">
            <w:pPr>
              <w:tabs>
                <w:tab w:val="left" w:pos="497"/>
              </w:tabs>
              <w:spacing w:line="360" w:lineRule="auto"/>
              <w:jc w:val="right"/>
              <w:rPr>
                <w:rFonts w:hint="default" w:asci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eastAsia="仿宋" w:cs="仿宋"/>
                <w:b/>
                <w:bCs/>
                <w:color w:val="000000" w:themeColor="text1"/>
                <w:sz w:val="24"/>
                <w:szCs w:val="24"/>
                <w:highlight w:val="none"/>
                <w:vertAlign w:val="baseline"/>
                <w:lang w:val="en-US" w:eastAsia="zh-CN"/>
                <w14:textFill>
                  <w14:solidFill>
                    <w14:schemeClr w14:val="tx1"/>
                  </w14:solidFill>
                </w14:textFill>
              </w:rPr>
              <w:t>-2</w:t>
            </w:r>
          </w:p>
        </w:tc>
      </w:tr>
      <w:tr w14:paraId="5EF2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shd w:val="clear" w:color="auto" w:fill="auto"/>
            <w:vAlign w:val="top"/>
          </w:tcPr>
          <w:p w14:paraId="45219BE3">
            <w:pPr>
              <w:numPr>
                <w:ilvl w:val="0"/>
                <w:numId w:val="0"/>
              </w:numPr>
              <w:tabs>
                <w:tab w:val="left" w:pos="497"/>
              </w:tabs>
              <w:spacing w:line="360" w:lineRule="auto"/>
              <w:ind w:left="0" w:leftChars="0" w:firstLine="240" w:firstLineChars="100"/>
              <w:jc w:val="both"/>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燃气生产和供应业</w:t>
            </w:r>
          </w:p>
        </w:tc>
        <w:tc>
          <w:tcPr>
            <w:tcW w:w="3555" w:type="dxa"/>
            <w:tcBorders>
              <w:right w:val="nil"/>
            </w:tcBorders>
            <w:shd w:val="clear" w:color="auto" w:fill="auto"/>
            <w:vAlign w:val="top"/>
          </w:tcPr>
          <w:p w14:paraId="6E07BAE5">
            <w:pPr>
              <w:numPr>
                <w:ilvl w:val="0"/>
                <w:numId w:val="0"/>
              </w:numPr>
              <w:tabs>
                <w:tab w:val="left" w:pos="497"/>
              </w:tabs>
              <w:spacing w:line="360" w:lineRule="auto"/>
              <w:ind w:left="0" w:leftChars="0" w:firstLine="0" w:firstLineChars="0"/>
              <w:jc w:val="right"/>
              <w:rPr>
                <w:rFonts w:hint="default"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215.5</w:t>
            </w:r>
          </w:p>
        </w:tc>
      </w:tr>
      <w:tr w14:paraId="6928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shd w:val="clear" w:color="auto" w:fill="auto"/>
            <w:vAlign w:val="top"/>
          </w:tcPr>
          <w:p w14:paraId="672E8EA0">
            <w:pPr>
              <w:numPr>
                <w:ilvl w:val="0"/>
                <w:numId w:val="0"/>
              </w:numPr>
              <w:tabs>
                <w:tab w:val="left" w:pos="497"/>
              </w:tabs>
              <w:spacing w:line="360" w:lineRule="auto"/>
              <w:ind w:left="0" w:leftChars="0" w:firstLine="240" w:firstLineChars="100"/>
              <w:jc w:val="both"/>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橡胶和塑料制品加工业</w:t>
            </w:r>
          </w:p>
        </w:tc>
        <w:tc>
          <w:tcPr>
            <w:tcW w:w="3555" w:type="dxa"/>
            <w:tcBorders>
              <w:right w:val="nil"/>
            </w:tcBorders>
            <w:shd w:val="clear" w:color="auto" w:fill="auto"/>
            <w:vAlign w:val="top"/>
          </w:tcPr>
          <w:p w14:paraId="13CB9FBD">
            <w:pPr>
              <w:numPr>
                <w:ilvl w:val="0"/>
                <w:numId w:val="0"/>
              </w:numPr>
              <w:tabs>
                <w:tab w:val="left" w:pos="497"/>
              </w:tabs>
              <w:spacing w:line="360" w:lineRule="auto"/>
              <w:ind w:left="0" w:leftChars="0" w:firstLine="0" w:firstLineChars="0"/>
              <w:jc w:val="right"/>
              <w:rPr>
                <w:rFonts w:hint="default"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31.4</w:t>
            </w:r>
          </w:p>
        </w:tc>
      </w:tr>
      <w:tr w14:paraId="0504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shd w:val="clear" w:color="auto" w:fill="auto"/>
            <w:vAlign w:val="top"/>
          </w:tcPr>
          <w:p w14:paraId="4311D9E7">
            <w:pPr>
              <w:numPr>
                <w:ilvl w:val="0"/>
                <w:numId w:val="0"/>
              </w:numPr>
              <w:tabs>
                <w:tab w:val="left" w:pos="497"/>
              </w:tabs>
              <w:spacing w:line="360" w:lineRule="auto"/>
              <w:ind w:left="0" w:leftChars="0" w:firstLine="240" w:firstLineChars="100"/>
              <w:jc w:val="both"/>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计算机、通信和其他电子设备制造业</w:t>
            </w:r>
          </w:p>
        </w:tc>
        <w:tc>
          <w:tcPr>
            <w:tcW w:w="3555" w:type="dxa"/>
            <w:tcBorders>
              <w:right w:val="nil"/>
            </w:tcBorders>
            <w:shd w:val="clear" w:color="auto" w:fill="auto"/>
            <w:vAlign w:val="top"/>
          </w:tcPr>
          <w:p w14:paraId="0F2D17CE">
            <w:pPr>
              <w:numPr>
                <w:ilvl w:val="0"/>
                <w:numId w:val="0"/>
              </w:numPr>
              <w:tabs>
                <w:tab w:val="left" w:pos="497"/>
              </w:tabs>
              <w:spacing w:line="360" w:lineRule="auto"/>
              <w:ind w:left="0" w:leftChars="0" w:firstLine="0" w:firstLineChars="0"/>
              <w:jc w:val="right"/>
              <w:rPr>
                <w:rFonts w:hint="default"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29.9</w:t>
            </w:r>
          </w:p>
        </w:tc>
      </w:tr>
      <w:tr w14:paraId="6C7C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shd w:val="clear" w:color="auto" w:fill="auto"/>
            <w:vAlign w:val="top"/>
          </w:tcPr>
          <w:p w14:paraId="2E42D4EE">
            <w:pPr>
              <w:numPr>
                <w:ilvl w:val="0"/>
                <w:numId w:val="0"/>
              </w:numPr>
              <w:tabs>
                <w:tab w:val="left" w:pos="497"/>
              </w:tabs>
              <w:spacing w:line="360" w:lineRule="auto"/>
              <w:ind w:left="0" w:leftChars="0" w:firstLine="240" w:firstLineChars="100"/>
              <w:jc w:val="both"/>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食品制造业</w:t>
            </w:r>
          </w:p>
        </w:tc>
        <w:tc>
          <w:tcPr>
            <w:tcW w:w="3555" w:type="dxa"/>
            <w:tcBorders>
              <w:right w:val="nil"/>
            </w:tcBorders>
            <w:shd w:val="clear" w:color="auto" w:fill="auto"/>
            <w:vAlign w:val="top"/>
          </w:tcPr>
          <w:p w14:paraId="0C60C244">
            <w:pPr>
              <w:numPr>
                <w:ilvl w:val="0"/>
                <w:numId w:val="0"/>
              </w:numPr>
              <w:tabs>
                <w:tab w:val="left" w:pos="497"/>
              </w:tabs>
              <w:spacing w:line="360" w:lineRule="auto"/>
              <w:ind w:left="0" w:leftChars="0" w:firstLine="0" w:firstLineChars="0"/>
              <w:jc w:val="right"/>
              <w:rPr>
                <w:rFonts w:hint="default"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18.9</w:t>
            </w:r>
          </w:p>
        </w:tc>
      </w:tr>
      <w:tr w14:paraId="4254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shd w:val="clear" w:color="auto" w:fill="auto"/>
            <w:vAlign w:val="top"/>
          </w:tcPr>
          <w:p w14:paraId="4838BEA4">
            <w:pPr>
              <w:numPr>
                <w:ilvl w:val="0"/>
                <w:numId w:val="0"/>
              </w:numPr>
              <w:tabs>
                <w:tab w:val="left" w:pos="497"/>
              </w:tabs>
              <w:spacing w:line="360" w:lineRule="auto"/>
              <w:ind w:left="0" w:leftChars="0" w:firstLine="240" w:firstLineChars="100"/>
              <w:jc w:val="both"/>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专用设备制造业</w:t>
            </w:r>
          </w:p>
        </w:tc>
        <w:tc>
          <w:tcPr>
            <w:tcW w:w="3555" w:type="dxa"/>
            <w:tcBorders>
              <w:right w:val="nil"/>
            </w:tcBorders>
            <w:shd w:val="clear" w:color="auto" w:fill="auto"/>
            <w:vAlign w:val="top"/>
          </w:tcPr>
          <w:p w14:paraId="1B93F841">
            <w:pPr>
              <w:numPr>
                <w:ilvl w:val="0"/>
                <w:numId w:val="0"/>
              </w:numPr>
              <w:tabs>
                <w:tab w:val="left" w:pos="497"/>
              </w:tabs>
              <w:spacing w:line="360" w:lineRule="auto"/>
              <w:ind w:left="0" w:leftChars="0" w:firstLine="0" w:firstLineChars="0"/>
              <w:jc w:val="right"/>
              <w:rPr>
                <w:rFonts w:hint="default"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9.8</w:t>
            </w:r>
          </w:p>
        </w:tc>
      </w:tr>
      <w:tr w14:paraId="749D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shd w:val="clear" w:color="auto" w:fill="auto"/>
            <w:vAlign w:val="top"/>
          </w:tcPr>
          <w:p w14:paraId="1C27CEAB">
            <w:pPr>
              <w:numPr>
                <w:ilvl w:val="0"/>
                <w:numId w:val="0"/>
              </w:numPr>
              <w:tabs>
                <w:tab w:val="left" w:pos="497"/>
              </w:tabs>
              <w:spacing w:line="360" w:lineRule="auto"/>
              <w:ind w:left="0" w:leftChars="0" w:firstLine="240" w:firstLineChars="100"/>
              <w:jc w:val="both"/>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纺织服装、服饰业</w:t>
            </w:r>
          </w:p>
        </w:tc>
        <w:tc>
          <w:tcPr>
            <w:tcW w:w="3555" w:type="dxa"/>
            <w:tcBorders>
              <w:right w:val="nil"/>
            </w:tcBorders>
            <w:shd w:val="clear" w:color="auto" w:fill="auto"/>
            <w:vAlign w:val="top"/>
          </w:tcPr>
          <w:p w14:paraId="368E7ACF">
            <w:pPr>
              <w:numPr>
                <w:ilvl w:val="0"/>
                <w:numId w:val="0"/>
              </w:numPr>
              <w:tabs>
                <w:tab w:val="left" w:pos="497"/>
              </w:tabs>
              <w:spacing w:line="360" w:lineRule="auto"/>
              <w:ind w:left="0" w:leftChars="0" w:firstLine="0" w:firstLineChars="0"/>
              <w:jc w:val="right"/>
              <w:rPr>
                <w:rFonts w:hint="default"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5.1</w:t>
            </w:r>
          </w:p>
        </w:tc>
      </w:tr>
      <w:tr w14:paraId="30F0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shd w:val="clear" w:color="auto" w:fill="auto"/>
            <w:vAlign w:val="top"/>
          </w:tcPr>
          <w:p w14:paraId="72E07A37">
            <w:pPr>
              <w:numPr>
                <w:ilvl w:val="0"/>
                <w:numId w:val="0"/>
              </w:numPr>
              <w:tabs>
                <w:tab w:val="left" w:pos="497"/>
              </w:tabs>
              <w:spacing w:line="360" w:lineRule="auto"/>
              <w:ind w:left="0" w:leftChars="0" w:firstLine="240" w:firstLineChars="100"/>
              <w:jc w:val="both"/>
              <w:rPr>
                <w:rFonts w:hint="eastAsia"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有色金属冶炼和压延加工业</w:t>
            </w:r>
          </w:p>
        </w:tc>
        <w:tc>
          <w:tcPr>
            <w:tcW w:w="3555" w:type="dxa"/>
            <w:tcBorders>
              <w:right w:val="nil"/>
            </w:tcBorders>
            <w:shd w:val="clear" w:color="auto" w:fill="auto"/>
            <w:vAlign w:val="top"/>
          </w:tcPr>
          <w:p w14:paraId="77613194">
            <w:pPr>
              <w:numPr>
                <w:ilvl w:val="0"/>
                <w:numId w:val="0"/>
              </w:numPr>
              <w:tabs>
                <w:tab w:val="left" w:pos="497"/>
              </w:tabs>
              <w:spacing w:line="360" w:lineRule="auto"/>
              <w:ind w:left="0" w:leftChars="0" w:firstLine="0" w:firstLineChars="0"/>
              <w:jc w:val="right"/>
              <w:rPr>
                <w:rFonts w:hint="default" w:ascii="仿宋" w:hAns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t>0.6</w:t>
            </w:r>
          </w:p>
        </w:tc>
      </w:tr>
      <w:tr w14:paraId="3941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25996913">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电力、热力生产和供应业</w:t>
            </w:r>
          </w:p>
        </w:tc>
        <w:tc>
          <w:tcPr>
            <w:tcW w:w="3555" w:type="dxa"/>
            <w:tcBorders>
              <w:right w:val="nil"/>
            </w:tcBorders>
          </w:tcPr>
          <w:p w14:paraId="54B15619">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-1.4</w:t>
            </w:r>
          </w:p>
        </w:tc>
      </w:tr>
      <w:tr w14:paraId="6101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02146CD9">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汽车制造业</w:t>
            </w:r>
          </w:p>
        </w:tc>
        <w:tc>
          <w:tcPr>
            <w:tcW w:w="3555" w:type="dxa"/>
            <w:tcBorders>
              <w:right w:val="nil"/>
            </w:tcBorders>
          </w:tcPr>
          <w:p w14:paraId="17F84A4E">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-4.7</w:t>
            </w:r>
          </w:p>
        </w:tc>
      </w:tr>
      <w:tr w14:paraId="7423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58953F31">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医药制造业</w:t>
            </w:r>
          </w:p>
        </w:tc>
        <w:tc>
          <w:tcPr>
            <w:tcW w:w="3555" w:type="dxa"/>
            <w:tcBorders>
              <w:right w:val="nil"/>
            </w:tcBorders>
          </w:tcPr>
          <w:p w14:paraId="35AABCE6">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-7.7</w:t>
            </w:r>
          </w:p>
        </w:tc>
      </w:tr>
      <w:tr w14:paraId="6BFF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33224788">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非金属矿物制品业</w:t>
            </w:r>
          </w:p>
        </w:tc>
        <w:tc>
          <w:tcPr>
            <w:tcW w:w="3555" w:type="dxa"/>
            <w:tcBorders>
              <w:right w:val="nil"/>
            </w:tcBorders>
          </w:tcPr>
          <w:p w14:paraId="326A786F">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-19.1</w:t>
            </w:r>
          </w:p>
        </w:tc>
      </w:tr>
      <w:tr w14:paraId="277D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shd w:val="clear" w:color="auto" w:fill="auto"/>
            <w:vAlign w:val="top"/>
          </w:tcPr>
          <w:p w14:paraId="12DDE570">
            <w:pPr>
              <w:tabs>
                <w:tab w:val="left" w:pos="497"/>
              </w:tabs>
              <w:spacing w:line="360" w:lineRule="auto"/>
              <w:ind w:left="0" w:leftChars="0" w:firstLine="240" w:firstLineChars="100"/>
              <w:jc w:val="both"/>
              <w:rPr>
                <w:rFonts w:hint="eastAsia" w:ascii="仿宋" w:hAnsi="Calibri"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金属制品业</w:t>
            </w:r>
          </w:p>
        </w:tc>
        <w:tc>
          <w:tcPr>
            <w:tcW w:w="3555" w:type="dxa"/>
            <w:tcBorders>
              <w:right w:val="nil"/>
            </w:tcBorders>
            <w:shd w:val="clear" w:color="auto" w:fill="auto"/>
            <w:vAlign w:val="top"/>
          </w:tcPr>
          <w:p w14:paraId="10E22AC9">
            <w:pPr>
              <w:tabs>
                <w:tab w:val="left" w:pos="497"/>
              </w:tabs>
              <w:spacing w:line="360" w:lineRule="auto"/>
              <w:ind w:left="0" w:leftChars="0" w:firstLine="0" w:firstLineChars="0"/>
              <w:jc w:val="right"/>
              <w:rPr>
                <w:rFonts w:hint="default" w:ascii="仿宋" w:hAnsi="Calibri"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-25.1</w:t>
            </w:r>
          </w:p>
        </w:tc>
      </w:tr>
      <w:tr w14:paraId="2CF1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shd w:val="clear" w:color="auto" w:fill="auto"/>
            <w:vAlign w:val="top"/>
          </w:tcPr>
          <w:p w14:paraId="454FEAE5">
            <w:pPr>
              <w:tabs>
                <w:tab w:val="left" w:pos="497"/>
              </w:tabs>
              <w:spacing w:line="360" w:lineRule="auto"/>
              <w:ind w:left="0" w:leftChars="0" w:firstLine="240" w:firstLineChars="100"/>
              <w:jc w:val="both"/>
              <w:rPr>
                <w:rFonts w:hint="eastAsia" w:ascii="仿宋" w:hAnsi="Calibri"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农副食品加工业</w:t>
            </w:r>
          </w:p>
        </w:tc>
        <w:tc>
          <w:tcPr>
            <w:tcW w:w="3555" w:type="dxa"/>
            <w:tcBorders>
              <w:right w:val="nil"/>
            </w:tcBorders>
            <w:shd w:val="clear" w:color="auto" w:fill="auto"/>
            <w:vAlign w:val="top"/>
          </w:tcPr>
          <w:p w14:paraId="4040F78F">
            <w:pPr>
              <w:tabs>
                <w:tab w:val="left" w:pos="497"/>
              </w:tabs>
              <w:spacing w:line="360" w:lineRule="auto"/>
              <w:ind w:left="0" w:leftChars="0" w:firstLine="0" w:firstLineChars="0"/>
              <w:jc w:val="right"/>
              <w:rPr>
                <w:rFonts w:hint="default" w:ascii="仿宋" w:hAnsi="Calibri"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-27.9</w:t>
            </w:r>
          </w:p>
        </w:tc>
      </w:tr>
      <w:tr w14:paraId="26E0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shd w:val="clear" w:color="auto" w:fill="auto"/>
            <w:vAlign w:val="top"/>
          </w:tcPr>
          <w:p w14:paraId="398485EA">
            <w:pPr>
              <w:tabs>
                <w:tab w:val="left" w:pos="497"/>
              </w:tabs>
              <w:spacing w:line="360" w:lineRule="auto"/>
              <w:ind w:left="0" w:leftChars="0" w:firstLine="240" w:firstLineChars="100"/>
              <w:jc w:val="both"/>
              <w:rPr>
                <w:rFonts w:hint="eastAsia" w:ascii="仿宋" w:hAnsi="Calibri"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通用设备制造业</w:t>
            </w:r>
          </w:p>
        </w:tc>
        <w:tc>
          <w:tcPr>
            <w:tcW w:w="3555" w:type="dxa"/>
            <w:tcBorders>
              <w:right w:val="nil"/>
            </w:tcBorders>
            <w:shd w:val="clear" w:color="auto" w:fill="auto"/>
            <w:vAlign w:val="top"/>
          </w:tcPr>
          <w:p w14:paraId="0817C65B">
            <w:pPr>
              <w:tabs>
                <w:tab w:val="left" w:pos="497"/>
              </w:tabs>
              <w:spacing w:line="360" w:lineRule="auto"/>
              <w:ind w:left="0" w:leftChars="0" w:firstLine="0" w:firstLineChars="0"/>
              <w:jc w:val="right"/>
              <w:rPr>
                <w:rFonts w:hint="eastAsia" w:ascii="仿宋" w:hAnsi="Calibri"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-35.4</w:t>
            </w:r>
          </w:p>
        </w:tc>
      </w:tr>
    </w:tbl>
    <w:p w14:paraId="23119945">
      <w:pPr>
        <w:pStyle w:val="2"/>
        <w:ind w:left="0" w:firstLine="643" w:firstLineChars="200"/>
        <w:rPr>
          <w:rFonts w:hint="eastAsia"/>
          <w:highlight w:val="none"/>
        </w:rPr>
      </w:pPr>
    </w:p>
    <w:p w14:paraId="65973754">
      <w:pPr>
        <w:pStyle w:val="2"/>
        <w:ind w:left="0" w:firstLine="643" w:firstLineChars="200"/>
        <w:rPr>
          <w:highlight w:val="none"/>
        </w:rPr>
      </w:pPr>
      <w:r>
        <w:rPr>
          <w:rFonts w:hint="eastAsia"/>
          <w:highlight w:val="none"/>
        </w:rPr>
        <w:t>四、建筑业</w:t>
      </w:r>
    </w:p>
    <w:p w14:paraId="76A6AD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eastAsia="仿宋" w:cs="仿宋"/>
          <w:highlight w:val="none"/>
          <w:lang w:val="en-US" w:eastAsia="zh-CN"/>
        </w:rPr>
      </w:pPr>
      <w:r>
        <w:rPr>
          <w:rFonts w:hint="eastAsia" w:ascii="仿宋" w:eastAsia="仿宋" w:cs="仿宋"/>
          <w:highlight w:val="none"/>
          <w:lang w:val="en-US" w:eastAsia="zh-CN"/>
        </w:rPr>
        <w:t>2024年，全区251户资质以上建筑业完成总产值103.8亿元，同比增长10.2%，增速位居五城区第二。受全球经济环境回温影响，增速与上年同期相比增长了16.5个百分点，涨幅较三季度下降了7.9个百分点。全区完成建筑工程产值59.9亿元，同比下降0.9%，占建筑业总产值比重的57.7%，主导着朝阳区建筑业的经济走向；建筑安装工程产值完成26.7亿元，同比增长5.7%，占比首次突破25%；其他产值完成17.3亿元，同比增长100.4%。详见下表：</w:t>
      </w:r>
    </w:p>
    <w:tbl>
      <w:tblPr>
        <w:tblStyle w:val="10"/>
        <w:tblW w:w="47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65"/>
        <w:gridCol w:w="2062"/>
        <w:gridCol w:w="1941"/>
        <w:gridCol w:w="1701"/>
      </w:tblGrid>
      <w:tr w14:paraId="3CFE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5000" w:type="pct"/>
            <w:gridSpan w:val="4"/>
            <w:tcBorders>
              <w:top w:val="nil"/>
              <w:left w:val="nil"/>
              <w:bottom w:val="nil"/>
              <w:right w:val="nil"/>
            </w:tcBorders>
            <w:shd w:val="clear" w:color="auto" w:fill="auto"/>
            <w:noWrap/>
            <w:vAlign w:val="center"/>
          </w:tcPr>
          <w:p w14:paraId="3D2F42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黑体" w:eastAsia="黑体" w:cs="黑体"/>
                <w:b/>
                <w:bCs/>
                <w:i w:val="0"/>
                <w:iCs w:val="0"/>
                <w:color w:val="auto"/>
                <w:sz w:val="24"/>
                <w:szCs w:val="24"/>
                <w:highlight w:val="none"/>
                <w:u w:val="none"/>
              </w:rPr>
            </w:pPr>
            <w:r>
              <w:rPr>
                <w:rFonts w:hint="eastAsia" w:ascii="黑体" w:eastAsia="黑体" w:cs="黑体"/>
                <w:b w:val="0"/>
                <w:bCs w:val="0"/>
                <w:i w:val="0"/>
                <w:iCs w:val="0"/>
                <w:color w:val="auto"/>
                <w:kern w:val="0"/>
                <w:sz w:val="28"/>
                <w:szCs w:val="28"/>
                <w:highlight w:val="none"/>
                <w:u w:val="none"/>
                <w:lang w:val="en-US" w:eastAsia="zh-CN"/>
              </w:rPr>
              <w:t xml:space="preserve">  </w:t>
            </w:r>
            <w:r>
              <w:rPr>
                <w:rFonts w:hint="eastAsia" w:ascii="黑体" w:eastAsia="黑体" w:cs="黑体"/>
                <w:b/>
                <w:bCs/>
                <w:i w:val="0"/>
                <w:iCs w:val="0"/>
                <w:color w:val="auto"/>
                <w:kern w:val="0"/>
                <w:sz w:val="28"/>
                <w:szCs w:val="28"/>
                <w:highlight w:val="none"/>
                <w:u w:val="none"/>
                <w:lang w:val="en-US" w:eastAsia="zh-CN"/>
              </w:rPr>
              <w:t>建筑业1-4季度产值完成情况</w:t>
            </w:r>
          </w:p>
        </w:tc>
      </w:tr>
      <w:tr w14:paraId="4DDA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794" w:type="pct"/>
            <w:tcBorders>
              <w:top w:val="single" w:color="000000" w:sz="4" w:space="0"/>
              <w:left w:val="nil"/>
              <w:bottom w:val="single" w:color="000000" w:sz="4" w:space="0"/>
              <w:right w:val="single" w:color="000000" w:sz="4" w:space="0"/>
            </w:tcBorders>
            <w:shd w:val="clear" w:color="auto" w:fill="auto"/>
            <w:noWrap/>
            <w:vAlign w:val="center"/>
          </w:tcPr>
          <w:p w14:paraId="70F50808">
            <w:pPr>
              <w:keepNext w:val="0"/>
              <w:keepLines w:val="0"/>
              <w:pageBreakBefore w:val="0"/>
              <w:widowControl/>
              <w:suppressLineNumbers w:val="0"/>
              <w:kinsoku/>
              <w:wordWrap/>
              <w:overflowPunct/>
              <w:topLinePunct w:val="0"/>
              <w:autoSpaceDE/>
              <w:autoSpaceDN/>
              <w:bidi w:val="0"/>
              <w:adjustRightInd/>
              <w:snapToGrid/>
              <w:spacing w:after="100" w:line="240" w:lineRule="auto"/>
              <w:jc w:val="center"/>
              <w:textAlignment w:val="center"/>
              <w:rPr>
                <w:rFonts w:hint="eastAsia" w:ascii="黑体" w:eastAsia="黑体" w:cs="黑体"/>
                <w:b/>
                <w:bCs/>
                <w:i w:val="0"/>
                <w:iCs w:val="0"/>
                <w:color w:val="auto"/>
                <w:sz w:val="24"/>
                <w:szCs w:val="24"/>
                <w:highlight w:val="none"/>
                <w:u w:val="none"/>
              </w:rPr>
            </w:pPr>
            <w:r>
              <w:rPr>
                <w:rFonts w:hint="eastAsia" w:ascii="黑体" w:eastAsia="黑体" w:cs="黑体"/>
                <w:b/>
                <w:bCs/>
                <w:i w:val="0"/>
                <w:iCs w:val="0"/>
                <w:color w:val="auto"/>
                <w:kern w:val="0"/>
                <w:sz w:val="24"/>
                <w:szCs w:val="24"/>
                <w:highlight w:val="none"/>
                <w:u w:val="none"/>
                <w:lang w:val="en-US" w:eastAsia="zh-CN"/>
              </w:rPr>
              <w:t>产值类型</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B9FE">
            <w:pPr>
              <w:keepNext w:val="0"/>
              <w:keepLines w:val="0"/>
              <w:pageBreakBefore w:val="0"/>
              <w:widowControl/>
              <w:suppressLineNumbers w:val="0"/>
              <w:kinsoku/>
              <w:wordWrap/>
              <w:overflowPunct/>
              <w:topLinePunct w:val="0"/>
              <w:autoSpaceDE/>
              <w:autoSpaceDN/>
              <w:bidi w:val="0"/>
              <w:adjustRightInd/>
              <w:snapToGrid/>
              <w:spacing w:after="100" w:line="240" w:lineRule="auto"/>
              <w:jc w:val="center"/>
              <w:textAlignment w:val="bottom"/>
              <w:rPr>
                <w:rFonts w:hint="eastAsia" w:ascii="黑体" w:eastAsia="黑体" w:cs="黑体"/>
                <w:b/>
                <w:bCs/>
                <w:i w:val="0"/>
                <w:iCs w:val="0"/>
                <w:color w:val="auto"/>
                <w:sz w:val="24"/>
                <w:szCs w:val="24"/>
                <w:highlight w:val="none"/>
                <w:u w:val="none"/>
              </w:rPr>
            </w:pPr>
            <w:r>
              <w:rPr>
                <w:rFonts w:hint="eastAsia" w:ascii="黑体" w:eastAsia="黑体" w:cs="黑体"/>
                <w:b/>
                <w:bCs/>
                <w:i w:val="0"/>
                <w:iCs w:val="0"/>
                <w:color w:val="auto"/>
                <w:kern w:val="0"/>
                <w:sz w:val="24"/>
                <w:szCs w:val="24"/>
                <w:highlight w:val="none"/>
                <w:u w:val="none"/>
                <w:lang w:val="en-US" w:eastAsia="zh-CN"/>
              </w:rPr>
              <w:t>产值(亿元)</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D580">
            <w:pPr>
              <w:keepNext w:val="0"/>
              <w:keepLines w:val="0"/>
              <w:pageBreakBefore w:val="0"/>
              <w:widowControl/>
              <w:suppressLineNumbers w:val="0"/>
              <w:kinsoku/>
              <w:wordWrap/>
              <w:overflowPunct/>
              <w:topLinePunct w:val="0"/>
              <w:autoSpaceDE/>
              <w:autoSpaceDN/>
              <w:bidi w:val="0"/>
              <w:adjustRightInd/>
              <w:snapToGrid/>
              <w:spacing w:after="100" w:line="240" w:lineRule="auto"/>
              <w:jc w:val="center"/>
              <w:textAlignment w:val="center"/>
              <w:rPr>
                <w:rFonts w:hint="eastAsia" w:ascii="黑体" w:eastAsia="黑体" w:cs="黑体"/>
                <w:b/>
                <w:bCs/>
                <w:i w:val="0"/>
                <w:iCs w:val="0"/>
                <w:color w:val="auto"/>
                <w:sz w:val="24"/>
                <w:szCs w:val="24"/>
                <w:highlight w:val="none"/>
                <w:u w:val="none"/>
              </w:rPr>
            </w:pPr>
            <w:r>
              <w:rPr>
                <w:rFonts w:hint="eastAsia" w:ascii="黑体" w:eastAsia="黑体" w:cs="黑体"/>
                <w:b/>
                <w:bCs/>
                <w:i w:val="0"/>
                <w:iCs w:val="0"/>
                <w:color w:val="auto"/>
                <w:kern w:val="0"/>
                <w:sz w:val="24"/>
                <w:szCs w:val="24"/>
                <w:highlight w:val="none"/>
                <w:u w:val="none"/>
                <w:lang w:val="en-US" w:eastAsia="zh-CN"/>
              </w:rPr>
              <w:t>同比（%）</w:t>
            </w:r>
          </w:p>
        </w:tc>
        <w:tc>
          <w:tcPr>
            <w:tcW w:w="922" w:type="pct"/>
            <w:tcBorders>
              <w:top w:val="single" w:color="000000" w:sz="4" w:space="0"/>
              <w:left w:val="single" w:color="000000" w:sz="4" w:space="0"/>
              <w:bottom w:val="single" w:color="000000" w:sz="4" w:space="0"/>
              <w:right w:val="nil"/>
            </w:tcBorders>
            <w:shd w:val="clear" w:color="auto" w:fill="auto"/>
            <w:noWrap/>
            <w:vAlign w:val="center"/>
          </w:tcPr>
          <w:p w14:paraId="42547835">
            <w:pPr>
              <w:keepNext w:val="0"/>
              <w:keepLines w:val="0"/>
              <w:pageBreakBefore w:val="0"/>
              <w:widowControl/>
              <w:suppressLineNumbers w:val="0"/>
              <w:kinsoku/>
              <w:wordWrap/>
              <w:overflowPunct/>
              <w:topLinePunct w:val="0"/>
              <w:autoSpaceDE/>
              <w:autoSpaceDN/>
              <w:bidi w:val="0"/>
              <w:adjustRightInd/>
              <w:snapToGrid/>
              <w:spacing w:after="100" w:line="240" w:lineRule="auto"/>
              <w:jc w:val="center"/>
              <w:textAlignment w:val="center"/>
              <w:rPr>
                <w:rFonts w:hint="eastAsia" w:ascii="黑体" w:eastAsia="黑体" w:cs="黑体"/>
                <w:b/>
                <w:bCs/>
                <w:i w:val="0"/>
                <w:iCs w:val="0"/>
                <w:color w:val="auto"/>
                <w:sz w:val="24"/>
                <w:szCs w:val="24"/>
                <w:highlight w:val="none"/>
                <w:u w:val="none"/>
              </w:rPr>
            </w:pPr>
            <w:r>
              <w:rPr>
                <w:rFonts w:hint="eastAsia" w:ascii="黑体" w:eastAsia="黑体" w:cs="黑体"/>
                <w:b/>
                <w:bCs/>
                <w:i w:val="0"/>
                <w:iCs w:val="0"/>
                <w:color w:val="auto"/>
                <w:kern w:val="0"/>
                <w:sz w:val="24"/>
                <w:szCs w:val="24"/>
                <w:highlight w:val="none"/>
                <w:u w:val="none"/>
                <w:lang w:val="en-US" w:eastAsia="zh-CN"/>
              </w:rPr>
              <w:t>占比(%)</w:t>
            </w:r>
          </w:p>
        </w:tc>
      </w:tr>
      <w:tr w14:paraId="4D22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794" w:type="pct"/>
            <w:tcBorders>
              <w:top w:val="single" w:color="000000" w:sz="4" w:space="0"/>
              <w:left w:val="nil"/>
              <w:bottom w:val="single" w:color="000000" w:sz="4" w:space="0"/>
              <w:right w:val="single" w:color="000000" w:sz="4" w:space="0"/>
            </w:tcBorders>
            <w:shd w:val="clear" w:color="auto" w:fill="auto"/>
            <w:noWrap/>
            <w:vAlign w:val="center"/>
          </w:tcPr>
          <w:p w14:paraId="3708C804">
            <w:pPr>
              <w:keepNext w:val="0"/>
              <w:keepLines w:val="0"/>
              <w:pageBreakBefore w:val="0"/>
              <w:widowControl/>
              <w:kinsoku/>
              <w:wordWrap/>
              <w:overflowPunct/>
              <w:topLinePunct w:val="0"/>
              <w:autoSpaceDE/>
              <w:autoSpaceDN/>
              <w:bidi w:val="0"/>
              <w:adjustRightInd/>
              <w:snapToGrid/>
              <w:spacing w:after="100" w:line="240" w:lineRule="auto"/>
              <w:jc w:val="center"/>
              <w:rPr>
                <w:rFonts w:hint="eastAsia"/>
                <w:color w:val="auto"/>
                <w:sz w:val="22"/>
                <w:szCs w:val="22"/>
                <w:highlight w:val="none"/>
              </w:rPr>
            </w:pPr>
            <w:r>
              <w:rPr>
                <w:rFonts w:hint="eastAsia"/>
                <w:b/>
                <w:bCs/>
                <w:color w:val="auto"/>
                <w:sz w:val="22"/>
                <w:szCs w:val="22"/>
                <w:highlight w:val="none"/>
                <w:lang w:val="en-US" w:eastAsia="zh-CN"/>
              </w:rPr>
              <w:t>总</w:t>
            </w:r>
            <w:r>
              <w:rPr>
                <w:b/>
                <w:bCs/>
                <w:color w:val="auto"/>
                <w:sz w:val="22"/>
                <w:szCs w:val="22"/>
                <w:highlight w:val="none"/>
                <w:lang w:val="en-US" w:eastAsia="zh-CN"/>
              </w:rPr>
              <w:t xml:space="preserve"> 产 值</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4A553">
            <w:pPr>
              <w:keepNext w:val="0"/>
              <w:keepLines w:val="0"/>
              <w:pageBreakBefore w:val="0"/>
              <w:widowControl/>
              <w:kinsoku/>
              <w:wordWrap/>
              <w:overflowPunct/>
              <w:topLinePunct w:val="0"/>
              <w:autoSpaceDE/>
              <w:autoSpaceDN/>
              <w:bidi w:val="0"/>
              <w:adjustRightInd/>
              <w:snapToGrid/>
              <w:spacing w:after="100" w:line="240" w:lineRule="auto"/>
              <w:jc w:val="center"/>
              <w:rPr>
                <w:rFonts w:hint="default"/>
                <w:color w:val="auto"/>
                <w:sz w:val="22"/>
                <w:szCs w:val="22"/>
                <w:highlight w:val="none"/>
                <w:lang w:val="en-US"/>
              </w:rPr>
            </w:pPr>
            <w:r>
              <w:rPr>
                <w:rFonts w:hint="eastAsia"/>
                <w:color w:val="auto"/>
                <w:sz w:val="22"/>
                <w:szCs w:val="22"/>
                <w:highlight w:val="none"/>
                <w:lang w:val="en-US" w:eastAsia="zh-CN"/>
              </w:rPr>
              <w:t>103.8</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992FF">
            <w:pPr>
              <w:keepNext w:val="0"/>
              <w:keepLines w:val="0"/>
              <w:pageBreakBefore w:val="0"/>
              <w:widowControl/>
              <w:kinsoku/>
              <w:wordWrap/>
              <w:overflowPunct/>
              <w:topLinePunct w:val="0"/>
              <w:autoSpaceDE/>
              <w:autoSpaceDN/>
              <w:bidi w:val="0"/>
              <w:adjustRightInd/>
              <w:snapToGrid/>
              <w:spacing w:after="100" w:line="240" w:lineRule="auto"/>
              <w:jc w:val="center"/>
              <w:rPr>
                <w:rFonts w:hint="default"/>
                <w:color w:val="auto"/>
                <w:sz w:val="22"/>
                <w:szCs w:val="22"/>
                <w:highlight w:val="none"/>
                <w:lang w:val="en-US"/>
              </w:rPr>
            </w:pPr>
            <w:r>
              <w:rPr>
                <w:rFonts w:hint="eastAsia"/>
                <w:color w:val="auto"/>
                <w:sz w:val="22"/>
                <w:szCs w:val="22"/>
                <w:highlight w:val="none"/>
                <w:lang w:val="en-US" w:eastAsia="zh-CN"/>
              </w:rPr>
              <w:t>10.2</w:t>
            </w:r>
          </w:p>
        </w:tc>
        <w:tc>
          <w:tcPr>
            <w:tcW w:w="922" w:type="pct"/>
            <w:tcBorders>
              <w:top w:val="single" w:color="000000" w:sz="4" w:space="0"/>
              <w:left w:val="single" w:color="000000" w:sz="4" w:space="0"/>
              <w:bottom w:val="single" w:color="000000" w:sz="4" w:space="0"/>
              <w:right w:val="nil"/>
            </w:tcBorders>
            <w:shd w:val="clear" w:color="auto" w:fill="auto"/>
            <w:noWrap/>
            <w:vAlign w:val="bottom"/>
          </w:tcPr>
          <w:p w14:paraId="26040214">
            <w:pPr>
              <w:keepNext w:val="0"/>
              <w:keepLines w:val="0"/>
              <w:pageBreakBefore w:val="0"/>
              <w:widowControl/>
              <w:kinsoku/>
              <w:wordWrap/>
              <w:overflowPunct/>
              <w:topLinePunct w:val="0"/>
              <w:autoSpaceDE/>
              <w:autoSpaceDN/>
              <w:bidi w:val="0"/>
              <w:adjustRightInd/>
              <w:snapToGrid/>
              <w:spacing w:after="100" w:line="240" w:lineRule="auto"/>
              <w:jc w:val="center"/>
              <w:rPr>
                <w:rFonts w:eastAsia="宋体"/>
                <w:color w:val="auto"/>
                <w:sz w:val="22"/>
                <w:szCs w:val="22"/>
                <w:highlight w:val="none"/>
                <w:lang w:val="en-US" w:eastAsia="zh-CN"/>
              </w:rPr>
            </w:pPr>
            <w:r>
              <w:rPr>
                <w:rFonts w:hint="eastAsia" w:eastAsia="宋体"/>
                <w:color w:val="auto"/>
                <w:sz w:val="22"/>
                <w:szCs w:val="22"/>
                <w:highlight w:val="none"/>
                <w:lang w:val="en-US" w:eastAsia="zh-CN"/>
              </w:rPr>
              <w:t>—</w:t>
            </w:r>
          </w:p>
        </w:tc>
      </w:tr>
      <w:tr w14:paraId="3656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1794" w:type="pct"/>
            <w:tcBorders>
              <w:top w:val="single" w:color="000000" w:sz="4" w:space="0"/>
              <w:left w:val="nil"/>
              <w:bottom w:val="single" w:color="000000" w:sz="4" w:space="0"/>
              <w:right w:val="single" w:color="000000" w:sz="4" w:space="0"/>
            </w:tcBorders>
            <w:shd w:val="clear" w:color="auto" w:fill="auto"/>
            <w:noWrap/>
            <w:vAlign w:val="center"/>
          </w:tcPr>
          <w:p w14:paraId="72DF6CB5">
            <w:pPr>
              <w:keepNext w:val="0"/>
              <w:keepLines w:val="0"/>
              <w:pageBreakBefore w:val="0"/>
              <w:widowControl/>
              <w:kinsoku/>
              <w:wordWrap/>
              <w:overflowPunct/>
              <w:topLinePunct w:val="0"/>
              <w:autoSpaceDE/>
              <w:autoSpaceDN/>
              <w:bidi w:val="0"/>
              <w:adjustRightInd/>
              <w:snapToGrid/>
              <w:spacing w:after="100" w:line="240" w:lineRule="auto"/>
              <w:jc w:val="center"/>
              <w:rPr>
                <w:rFonts w:hint="eastAsia"/>
                <w:b/>
                <w:bCs/>
                <w:color w:val="auto"/>
                <w:sz w:val="22"/>
                <w:szCs w:val="22"/>
                <w:highlight w:val="none"/>
              </w:rPr>
            </w:pPr>
            <w:r>
              <w:rPr>
                <w:rFonts w:hint="eastAsia"/>
                <w:b/>
                <w:bCs/>
                <w:color w:val="auto"/>
                <w:sz w:val="22"/>
                <w:szCs w:val="22"/>
                <w:highlight w:val="none"/>
                <w:lang w:val="en-US" w:eastAsia="zh-CN"/>
              </w:rPr>
              <w:t>建筑工程产值</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BC784">
            <w:pPr>
              <w:keepNext w:val="0"/>
              <w:keepLines w:val="0"/>
              <w:pageBreakBefore w:val="0"/>
              <w:widowControl/>
              <w:kinsoku/>
              <w:wordWrap/>
              <w:overflowPunct/>
              <w:topLinePunct w:val="0"/>
              <w:autoSpaceDE/>
              <w:autoSpaceDN/>
              <w:bidi w:val="0"/>
              <w:adjustRightInd/>
              <w:snapToGrid/>
              <w:spacing w:after="100" w:line="240" w:lineRule="auto"/>
              <w:jc w:val="center"/>
              <w:rPr>
                <w:rFonts w:hint="default"/>
                <w:color w:val="auto"/>
                <w:sz w:val="22"/>
                <w:szCs w:val="22"/>
                <w:highlight w:val="none"/>
                <w:lang w:val="en-US"/>
              </w:rPr>
            </w:pPr>
            <w:r>
              <w:rPr>
                <w:rFonts w:hint="eastAsia"/>
                <w:color w:val="auto"/>
                <w:sz w:val="22"/>
                <w:szCs w:val="22"/>
                <w:highlight w:val="none"/>
                <w:lang w:val="en-US" w:eastAsia="zh-CN"/>
              </w:rPr>
              <w:t>59.9</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1C629">
            <w:pPr>
              <w:keepNext w:val="0"/>
              <w:keepLines w:val="0"/>
              <w:pageBreakBefore w:val="0"/>
              <w:widowControl/>
              <w:kinsoku/>
              <w:wordWrap/>
              <w:overflowPunct/>
              <w:topLinePunct w:val="0"/>
              <w:autoSpaceDE/>
              <w:autoSpaceDN/>
              <w:bidi w:val="0"/>
              <w:adjustRightInd/>
              <w:snapToGrid/>
              <w:spacing w:after="100" w:line="240" w:lineRule="auto"/>
              <w:jc w:val="center"/>
              <w:rPr>
                <w:rFonts w:hint="default"/>
                <w:color w:val="auto"/>
                <w:sz w:val="22"/>
                <w:szCs w:val="22"/>
                <w:highlight w:val="none"/>
                <w:lang w:val="en-US"/>
              </w:rPr>
            </w:pPr>
            <w:r>
              <w:rPr>
                <w:rFonts w:hint="eastAsia"/>
                <w:color w:val="auto"/>
                <w:sz w:val="22"/>
                <w:szCs w:val="22"/>
                <w:highlight w:val="none"/>
                <w:lang w:val="en-US" w:eastAsia="zh-CN"/>
              </w:rPr>
              <w:t>-0.9</w:t>
            </w:r>
          </w:p>
        </w:tc>
        <w:tc>
          <w:tcPr>
            <w:tcW w:w="922" w:type="pct"/>
            <w:tcBorders>
              <w:top w:val="single" w:color="000000" w:sz="4" w:space="0"/>
              <w:left w:val="single" w:color="000000" w:sz="4" w:space="0"/>
              <w:bottom w:val="single" w:color="000000" w:sz="4" w:space="0"/>
              <w:right w:val="nil"/>
            </w:tcBorders>
            <w:shd w:val="clear" w:color="auto" w:fill="auto"/>
            <w:noWrap/>
            <w:vAlign w:val="bottom"/>
          </w:tcPr>
          <w:p w14:paraId="07F4BCCA">
            <w:pPr>
              <w:keepNext w:val="0"/>
              <w:keepLines w:val="0"/>
              <w:pageBreakBefore w:val="0"/>
              <w:widowControl/>
              <w:kinsoku/>
              <w:wordWrap/>
              <w:overflowPunct/>
              <w:topLinePunct w:val="0"/>
              <w:autoSpaceDE/>
              <w:autoSpaceDN/>
              <w:bidi w:val="0"/>
              <w:adjustRightInd/>
              <w:snapToGrid/>
              <w:spacing w:after="100" w:line="240" w:lineRule="auto"/>
              <w:jc w:val="center"/>
              <w:rPr>
                <w:rFonts w:hint="default" w:eastAsia="仿宋_GB2312"/>
                <w:color w:val="auto"/>
                <w:sz w:val="22"/>
                <w:szCs w:val="22"/>
                <w:highlight w:val="none"/>
                <w:lang w:val="en-US" w:eastAsia="zh-CN"/>
              </w:rPr>
            </w:pPr>
            <w:r>
              <w:rPr>
                <w:rFonts w:hint="eastAsia"/>
                <w:color w:val="auto"/>
                <w:sz w:val="22"/>
                <w:szCs w:val="22"/>
                <w:highlight w:val="none"/>
                <w:lang w:val="en-US" w:eastAsia="zh-CN"/>
              </w:rPr>
              <w:t>57.7</w:t>
            </w:r>
          </w:p>
        </w:tc>
      </w:tr>
      <w:tr w14:paraId="6022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794" w:type="pct"/>
            <w:tcBorders>
              <w:top w:val="single" w:color="000000" w:sz="4" w:space="0"/>
              <w:left w:val="nil"/>
              <w:bottom w:val="single" w:color="000000" w:sz="4" w:space="0"/>
              <w:right w:val="single" w:color="000000" w:sz="4" w:space="0"/>
            </w:tcBorders>
            <w:shd w:val="clear" w:color="auto" w:fill="auto"/>
            <w:noWrap/>
            <w:vAlign w:val="center"/>
          </w:tcPr>
          <w:p w14:paraId="4EC8E9F5">
            <w:pPr>
              <w:keepNext w:val="0"/>
              <w:keepLines w:val="0"/>
              <w:pageBreakBefore w:val="0"/>
              <w:widowControl/>
              <w:kinsoku/>
              <w:wordWrap/>
              <w:overflowPunct/>
              <w:topLinePunct w:val="0"/>
              <w:autoSpaceDE/>
              <w:autoSpaceDN/>
              <w:bidi w:val="0"/>
              <w:adjustRightInd/>
              <w:snapToGrid/>
              <w:spacing w:after="100" w:line="240" w:lineRule="auto"/>
              <w:jc w:val="center"/>
              <w:rPr>
                <w:rFonts w:hint="eastAsia"/>
                <w:b/>
                <w:bCs/>
                <w:color w:val="auto"/>
                <w:sz w:val="22"/>
                <w:szCs w:val="22"/>
                <w:highlight w:val="none"/>
              </w:rPr>
            </w:pPr>
            <w:r>
              <w:rPr>
                <w:rFonts w:hint="eastAsia"/>
                <w:b/>
                <w:bCs/>
                <w:color w:val="auto"/>
                <w:sz w:val="22"/>
                <w:szCs w:val="22"/>
                <w:highlight w:val="none"/>
                <w:lang w:val="en-US" w:eastAsia="zh-CN"/>
              </w:rPr>
              <w:t>安装工程产值</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F6DA4">
            <w:pPr>
              <w:keepNext w:val="0"/>
              <w:keepLines w:val="0"/>
              <w:pageBreakBefore w:val="0"/>
              <w:widowControl/>
              <w:kinsoku/>
              <w:wordWrap/>
              <w:overflowPunct/>
              <w:topLinePunct w:val="0"/>
              <w:autoSpaceDE/>
              <w:autoSpaceDN/>
              <w:bidi w:val="0"/>
              <w:adjustRightInd/>
              <w:snapToGrid/>
              <w:spacing w:after="100" w:line="240" w:lineRule="auto"/>
              <w:jc w:val="center"/>
              <w:rPr>
                <w:rFonts w:hint="default"/>
                <w:color w:val="auto"/>
                <w:sz w:val="22"/>
                <w:szCs w:val="22"/>
                <w:highlight w:val="none"/>
                <w:lang w:val="en-US"/>
              </w:rPr>
            </w:pPr>
            <w:r>
              <w:rPr>
                <w:rFonts w:hint="eastAsia"/>
                <w:color w:val="auto"/>
                <w:sz w:val="22"/>
                <w:szCs w:val="22"/>
                <w:highlight w:val="none"/>
                <w:lang w:val="en-US" w:eastAsia="zh-CN"/>
              </w:rPr>
              <w:t>26.7</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D2C24">
            <w:pPr>
              <w:keepNext w:val="0"/>
              <w:keepLines w:val="0"/>
              <w:pageBreakBefore w:val="0"/>
              <w:widowControl/>
              <w:kinsoku/>
              <w:wordWrap/>
              <w:overflowPunct/>
              <w:topLinePunct w:val="0"/>
              <w:autoSpaceDE/>
              <w:autoSpaceDN/>
              <w:bidi w:val="0"/>
              <w:adjustRightInd/>
              <w:snapToGrid/>
              <w:spacing w:after="100" w:line="240" w:lineRule="auto"/>
              <w:jc w:val="center"/>
              <w:rPr>
                <w:rFonts w:hint="default"/>
                <w:color w:val="auto"/>
                <w:sz w:val="22"/>
                <w:szCs w:val="22"/>
                <w:highlight w:val="none"/>
                <w:lang w:val="en-US"/>
              </w:rPr>
            </w:pPr>
            <w:r>
              <w:rPr>
                <w:rFonts w:hint="eastAsia"/>
                <w:color w:val="auto"/>
                <w:sz w:val="22"/>
                <w:szCs w:val="22"/>
                <w:highlight w:val="none"/>
                <w:lang w:val="en-US" w:eastAsia="zh-CN"/>
              </w:rPr>
              <w:t>5.7</w:t>
            </w:r>
          </w:p>
        </w:tc>
        <w:tc>
          <w:tcPr>
            <w:tcW w:w="922" w:type="pct"/>
            <w:tcBorders>
              <w:top w:val="single" w:color="000000" w:sz="4" w:space="0"/>
              <w:left w:val="single" w:color="000000" w:sz="4" w:space="0"/>
              <w:bottom w:val="single" w:color="000000" w:sz="4" w:space="0"/>
              <w:right w:val="nil"/>
            </w:tcBorders>
            <w:shd w:val="clear" w:color="auto" w:fill="auto"/>
            <w:noWrap/>
            <w:vAlign w:val="bottom"/>
          </w:tcPr>
          <w:p w14:paraId="64D15163">
            <w:pPr>
              <w:keepNext w:val="0"/>
              <w:keepLines w:val="0"/>
              <w:pageBreakBefore w:val="0"/>
              <w:widowControl/>
              <w:kinsoku/>
              <w:wordWrap/>
              <w:overflowPunct/>
              <w:topLinePunct w:val="0"/>
              <w:autoSpaceDE/>
              <w:autoSpaceDN/>
              <w:bidi w:val="0"/>
              <w:adjustRightInd/>
              <w:snapToGrid/>
              <w:spacing w:after="100" w:line="240" w:lineRule="auto"/>
              <w:jc w:val="center"/>
              <w:rPr>
                <w:rFonts w:hint="default"/>
                <w:color w:val="auto"/>
                <w:sz w:val="22"/>
                <w:szCs w:val="22"/>
                <w:highlight w:val="none"/>
                <w:lang w:val="en-US"/>
              </w:rPr>
            </w:pPr>
            <w:r>
              <w:rPr>
                <w:rFonts w:hint="eastAsia"/>
                <w:color w:val="auto"/>
                <w:sz w:val="22"/>
                <w:szCs w:val="22"/>
                <w:highlight w:val="none"/>
                <w:lang w:val="en-US" w:eastAsia="zh-CN"/>
              </w:rPr>
              <w:t>25.7</w:t>
            </w:r>
          </w:p>
        </w:tc>
      </w:tr>
      <w:tr w14:paraId="6CBE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94" w:type="pct"/>
            <w:tcBorders>
              <w:top w:val="single" w:color="000000" w:sz="4" w:space="0"/>
              <w:left w:val="nil"/>
              <w:bottom w:val="single" w:color="000000" w:sz="4" w:space="0"/>
              <w:right w:val="single" w:color="000000" w:sz="4" w:space="0"/>
            </w:tcBorders>
            <w:shd w:val="clear" w:color="auto" w:fill="auto"/>
            <w:noWrap/>
            <w:vAlign w:val="center"/>
          </w:tcPr>
          <w:p w14:paraId="6E6BC70A">
            <w:pPr>
              <w:keepNext w:val="0"/>
              <w:keepLines w:val="0"/>
              <w:pageBreakBefore w:val="0"/>
              <w:widowControl/>
              <w:kinsoku/>
              <w:wordWrap/>
              <w:overflowPunct/>
              <w:topLinePunct w:val="0"/>
              <w:autoSpaceDE/>
              <w:autoSpaceDN/>
              <w:bidi w:val="0"/>
              <w:adjustRightInd/>
              <w:snapToGrid/>
              <w:spacing w:after="100" w:line="240" w:lineRule="auto"/>
              <w:jc w:val="center"/>
              <w:rPr>
                <w:rFonts w:hint="eastAsia"/>
                <w:b/>
                <w:bCs/>
                <w:color w:val="auto"/>
                <w:sz w:val="22"/>
                <w:szCs w:val="22"/>
                <w:highlight w:val="none"/>
              </w:rPr>
            </w:pPr>
            <w:r>
              <w:rPr>
                <w:rFonts w:hint="eastAsia"/>
                <w:b/>
                <w:bCs/>
                <w:color w:val="auto"/>
                <w:sz w:val="22"/>
                <w:szCs w:val="22"/>
                <w:highlight w:val="none"/>
                <w:lang w:val="en-US" w:eastAsia="zh-CN"/>
              </w:rPr>
              <w:t>其他产值</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09E8C">
            <w:pPr>
              <w:keepNext w:val="0"/>
              <w:keepLines w:val="0"/>
              <w:pageBreakBefore w:val="0"/>
              <w:widowControl/>
              <w:kinsoku/>
              <w:wordWrap/>
              <w:overflowPunct/>
              <w:topLinePunct w:val="0"/>
              <w:autoSpaceDE/>
              <w:autoSpaceDN/>
              <w:bidi w:val="0"/>
              <w:adjustRightInd/>
              <w:snapToGrid/>
              <w:spacing w:after="100" w:line="240" w:lineRule="auto"/>
              <w:jc w:val="center"/>
              <w:rPr>
                <w:rFonts w:hint="default" w:eastAsia="仿宋_GB2312"/>
                <w:color w:val="auto"/>
                <w:sz w:val="22"/>
                <w:szCs w:val="22"/>
                <w:highlight w:val="none"/>
                <w:lang w:val="en-US" w:eastAsia="zh-CN"/>
              </w:rPr>
            </w:pPr>
            <w:r>
              <w:rPr>
                <w:rFonts w:hint="eastAsia"/>
                <w:color w:val="auto"/>
                <w:sz w:val="22"/>
                <w:szCs w:val="22"/>
                <w:highlight w:val="none"/>
                <w:lang w:val="en-US" w:eastAsia="zh-CN"/>
              </w:rPr>
              <w:t>17.3</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319D8">
            <w:pPr>
              <w:keepNext w:val="0"/>
              <w:keepLines w:val="0"/>
              <w:pageBreakBefore w:val="0"/>
              <w:widowControl/>
              <w:kinsoku/>
              <w:wordWrap/>
              <w:overflowPunct/>
              <w:topLinePunct w:val="0"/>
              <w:autoSpaceDE/>
              <w:autoSpaceDN/>
              <w:bidi w:val="0"/>
              <w:adjustRightInd/>
              <w:snapToGrid/>
              <w:spacing w:after="100" w:line="240" w:lineRule="auto"/>
              <w:jc w:val="center"/>
              <w:rPr>
                <w:rFonts w:hint="default" w:eastAsia="仿宋_GB2312"/>
                <w:color w:val="auto"/>
                <w:sz w:val="22"/>
                <w:szCs w:val="22"/>
                <w:highlight w:val="none"/>
                <w:lang w:val="en-US" w:eastAsia="zh-CN"/>
              </w:rPr>
            </w:pPr>
            <w:r>
              <w:rPr>
                <w:rFonts w:hint="eastAsia"/>
                <w:color w:val="auto"/>
                <w:sz w:val="22"/>
                <w:szCs w:val="22"/>
                <w:highlight w:val="none"/>
                <w:lang w:val="en-US" w:eastAsia="zh-CN"/>
              </w:rPr>
              <w:t>100.4</w:t>
            </w:r>
          </w:p>
        </w:tc>
        <w:tc>
          <w:tcPr>
            <w:tcW w:w="922" w:type="pct"/>
            <w:tcBorders>
              <w:top w:val="single" w:color="000000" w:sz="4" w:space="0"/>
              <w:left w:val="single" w:color="000000" w:sz="4" w:space="0"/>
              <w:bottom w:val="single" w:color="000000" w:sz="4" w:space="0"/>
              <w:right w:val="nil"/>
            </w:tcBorders>
            <w:shd w:val="clear" w:color="auto" w:fill="auto"/>
            <w:noWrap/>
            <w:vAlign w:val="bottom"/>
          </w:tcPr>
          <w:p w14:paraId="13C60A3E">
            <w:pPr>
              <w:keepNext w:val="0"/>
              <w:keepLines w:val="0"/>
              <w:pageBreakBefore w:val="0"/>
              <w:widowControl/>
              <w:kinsoku/>
              <w:wordWrap/>
              <w:overflowPunct/>
              <w:topLinePunct w:val="0"/>
              <w:autoSpaceDE/>
              <w:autoSpaceDN/>
              <w:bidi w:val="0"/>
              <w:adjustRightInd/>
              <w:snapToGrid/>
              <w:spacing w:after="100" w:line="240" w:lineRule="auto"/>
              <w:jc w:val="center"/>
              <w:rPr>
                <w:rFonts w:hint="default" w:eastAsia="仿宋_GB2312"/>
                <w:color w:val="auto"/>
                <w:sz w:val="22"/>
                <w:szCs w:val="22"/>
                <w:highlight w:val="none"/>
                <w:lang w:val="en-US" w:eastAsia="zh-CN"/>
              </w:rPr>
            </w:pPr>
            <w:r>
              <w:rPr>
                <w:rFonts w:hint="eastAsia"/>
                <w:color w:val="auto"/>
                <w:sz w:val="22"/>
                <w:szCs w:val="22"/>
                <w:highlight w:val="none"/>
                <w:lang w:val="en-US" w:eastAsia="zh-CN"/>
              </w:rPr>
              <w:t>16.6</w:t>
            </w:r>
          </w:p>
        </w:tc>
      </w:tr>
    </w:tbl>
    <w:p w14:paraId="589A7158">
      <w:pPr>
        <w:rPr>
          <w:rFonts w:hint="eastAsia" w:ascii="仿宋" w:eastAsia="仿宋" w:cs="仿宋"/>
          <w:highlight w:val="none"/>
          <w:lang w:val="en-US" w:eastAsia="zh-CN"/>
        </w:rPr>
      </w:pPr>
    </w:p>
    <w:p w14:paraId="2BC2323E">
      <w:pPr>
        <w:spacing w:line="360" w:lineRule="auto"/>
        <w:ind w:firstLine="1920" w:firstLineChars="600"/>
        <w:jc w:val="both"/>
        <w:rPr>
          <w:rFonts w:ascii="仿宋" w:eastAsia="仿宋"/>
          <w:color w:val="000000"/>
          <w:szCs w:val="32"/>
          <w:highlight w:val="none"/>
        </w:rPr>
      </w:pPr>
      <w:r>
        <w:rPr>
          <w:rFonts w:hint="eastAsia" w:ascii="仿宋" w:eastAsia="仿宋"/>
          <w:color w:val="000000"/>
          <w:sz w:val="32"/>
          <w:szCs w:val="32"/>
          <w:highlight w:val="none"/>
          <w:lang w:val="en-US" w:eastAsia="zh-CN"/>
        </w:rPr>
        <w:t xml:space="preserve"> </w:t>
      </w:r>
      <w:r>
        <w:rPr>
          <w:rFonts w:hint="eastAsia" w:ascii="宋体" w:eastAsia="宋体" w:cs="宋体"/>
          <w:b/>
          <w:bCs/>
          <w:color w:val="000000"/>
          <w:sz w:val="28"/>
          <w:szCs w:val="28"/>
          <w:highlight w:val="none"/>
          <w:lang w:val="en-US" w:eastAsia="zh-CN"/>
        </w:rPr>
        <w:t>2024年</w:t>
      </w:r>
      <w:r>
        <w:rPr>
          <w:rFonts w:hint="eastAsia" w:ascii="宋体" w:eastAsia="宋体" w:cs="宋体"/>
          <w:b/>
          <w:bCs/>
          <w:color w:val="000000"/>
          <w:sz w:val="28"/>
          <w:szCs w:val="28"/>
          <w:highlight w:val="none"/>
        </w:rPr>
        <w:t>1-4季度建筑业总产值完成情况</w:t>
      </w:r>
    </w:p>
    <w:p w14:paraId="0ED497F9">
      <w:pPr>
        <w:pStyle w:val="2"/>
        <w:ind w:left="0" w:leftChars="0" w:firstLine="643" w:firstLineChars="200"/>
        <w:rPr>
          <w:rFonts w:ascii="仿宋" w:eastAsia="仿宋"/>
          <w:color w:val="000000"/>
          <w:sz w:val="32"/>
          <w:szCs w:val="32"/>
          <w:highlight w:val="none"/>
        </w:rPr>
      </w:pPr>
      <w:r>
        <w:rPr>
          <w:rFonts w:ascii="仿宋" w:eastAsia="仿宋"/>
          <w:color w:val="000000"/>
          <w:sz w:val="32"/>
          <w:szCs w:val="32"/>
          <w:highlight w:val="none"/>
        </w:rPr>
        <w:drawing>
          <wp:inline distT="0" distB="0" distL="114300" distR="114300">
            <wp:extent cx="4563110" cy="3274695"/>
            <wp:effectExtent l="4445" t="4445" r="23495" b="16510"/>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D84F08">
      <w:pPr>
        <w:pStyle w:val="2"/>
        <w:ind w:left="0" w:leftChars="0" w:firstLine="643"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五、固定投资和房地产开发</w:t>
      </w:r>
    </w:p>
    <w:p w14:paraId="0DF16852">
      <w:pPr>
        <w:pStyle w:val="2"/>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年初以来，</w:t>
      </w:r>
      <w:r>
        <w:rPr>
          <w:rFonts w:hint="eastAsia" w:ascii="仿宋" w:hAnsi="仿宋" w:eastAsia="仿宋" w:cs="仿宋"/>
          <w:b w:val="0"/>
          <w:bCs w:val="0"/>
          <w:color w:val="000000" w:themeColor="text1"/>
          <w:sz w:val="32"/>
          <w:szCs w:val="32"/>
          <w:highlight w:val="none"/>
          <w14:textFill>
            <w14:solidFill>
              <w14:schemeClr w14:val="tx1"/>
            </w14:solidFill>
          </w14:textFill>
        </w:rPr>
        <w:t>朝阳区做优要素保障，全力组织项目开工复工</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，扎实</w:t>
      </w:r>
      <w:r>
        <w:rPr>
          <w:rFonts w:hint="eastAsia" w:ascii="仿宋" w:hAnsi="仿宋" w:eastAsia="仿宋" w:cs="仿宋"/>
          <w:b w:val="0"/>
          <w:bCs w:val="0"/>
          <w:color w:val="000000" w:themeColor="text1"/>
          <w:sz w:val="32"/>
          <w:szCs w:val="32"/>
          <w:highlight w:val="none"/>
          <w14:textFill>
            <w14:solidFill>
              <w14:schemeClr w14:val="tx1"/>
            </w14:solidFill>
          </w14:textFill>
        </w:rPr>
        <w:t>推</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动</w:t>
      </w:r>
      <w:r>
        <w:rPr>
          <w:rFonts w:hint="eastAsia" w:ascii="仿宋" w:hAnsi="仿宋" w:eastAsia="仿宋" w:cs="仿宋"/>
          <w:b w:val="0"/>
          <w:bCs w:val="0"/>
          <w:color w:val="000000" w:themeColor="text1"/>
          <w:sz w:val="32"/>
          <w:szCs w:val="32"/>
          <w:highlight w:val="none"/>
          <w14:textFill>
            <w14:solidFill>
              <w14:schemeClr w14:val="tx1"/>
            </w14:solidFill>
          </w14:textFill>
        </w:rPr>
        <w:t>重大项目建设</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进程</w:t>
      </w:r>
      <w:r>
        <w:rPr>
          <w:rFonts w:hint="eastAsia" w:ascii="仿宋" w:hAnsi="仿宋" w:eastAsia="仿宋" w:cs="仿宋"/>
          <w:b w:val="0"/>
          <w:bCs w:val="0"/>
          <w:color w:val="000000" w:themeColor="text1"/>
          <w:sz w:val="32"/>
          <w:szCs w:val="32"/>
          <w:highlight w:val="none"/>
          <w14:textFill>
            <w14:solidFill>
              <w14:schemeClr w14:val="tx1"/>
            </w14:solidFill>
          </w14:textFill>
        </w:rPr>
        <w:t>，积极扩大有效投资，</w:t>
      </w:r>
      <w:r>
        <w:rPr>
          <w:rFonts w:hint="eastAsia" w:ascii="仿宋" w:hAnsi="仿宋" w:eastAsia="仿宋" w:cs="仿宋"/>
          <w:b w:val="0"/>
          <w:bCs w:val="0"/>
          <w:color w:val="000000" w:themeColor="text1"/>
          <w:sz w:val="32"/>
          <w:szCs w:val="32"/>
          <w:highlight w:val="none"/>
          <w:shd w:val="clear" w:color="auto" w:fill="FFFFFF"/>
          <w14:textFill>
            <w14:solidFill>
              <w14:schemeClr w14:val="tx1"/>
            </w14:solidFill>
          </w14:textFill>
        </w:rPr>
        <w:t>为实现高质量发展注入动能</w:t>
      </w:r>
      <w:r>
        <w:rPr>
          <w:rFonts w:hint="eastAsia" w:ascii="仿宋" w:hAnsi="仿宋" w:eastAsia="仿宋" w:cs="仿宋"/>
          <w:b w:val="0"/>
          <w:bCs w:val="0"/>
          <w:color w:val="000000" w:themeColor="text1"/>
          <w:sz w:val="32"/>
          <w:szCs w:val="32"/>
          <w:highlight w:val="none"/>
          <w:shd w:val="clear" w:color="auto" w:fill="FFFFFF"/>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固定资产投资</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呈增长态势</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-12月份，朝阳区累计完成固定资产投资139.8亿元，同比增长2.3%，比去年同期增速缩减10.9个百分点，高于全市增速1.2个百分点。其中，500万元以上项目完成投资102.1亿元，同比下降0.6%，比去年同期增速缩减4.2个百分点</w:t>
      </w:r>
      <w:r>
        <w:rPr>
          <w:rFonts w:hint="eastAsia" w:ascii="仿宋" w:hAnsi="仿宋" w:eastAsia="仿宋" w:cs="仿宋"/>
          <w:b w:val="0"/>
          <w:bCs w:val="0"/>
          <w:color w:val="000000" w:themeColor="text1"/>
          <w:sz w:val="32"/>
          <w:szCs w:val="32"/>
          <w:highlight w:val="none"/>
          <w14:textFill>
            <w14:solidFill>
              <w14:schemeClr w14:val="tx1"/>
            </w14:solidFill>
          </w14:textFill>
        </w:rPr>
        <w:t>，占投资总额的</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73</w:t>
      </w: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下</w:t>
      </w:r>
      <w:r>
        <w:rPr>
          <w:rFonts w:hint="eastAsia" w:ascii="仿宋" w:hAnsi="仿宋" w:eastAsia="仿宋" w:cs="仿宋"/>
          <w:b w:val="0"/>
          <w:bCs w:val="0"/>
          <w:color w:val="000000" w:themeColor="text1"/>
          <w:sz w:val="32"/>
          <w:szCs w:val="32"/>
          <w:highlight w:val="none"/>
          <w14:textFill>
            <w14:solidFill>
              <w14:schemeClr w14:val="tx1"/>
            </w14:solidFill>
          </w14:textFill>
        </w:rPr>
        <w:t>拉</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全区</w:t>
      </w:r>
      <w:r>
        <w:rPr>
          <w:rFonts w:hint="eastAsia" w:ascii="仿宋" w:hAnsi="仿宋" w:eastAsia="仿宋" w:cs="仿宋"/>
          <w:b w:val="0"/>
          <w:bCs w:val="0"/>
          <w:color w:val="000000" w:themeColor="text1"/>
          <w:sz w:val="32"/>
          <w:szCs w:val="32"/>
          <w:highlight w:val="none"/>
          <w14:textFill>
            <w14:solidFill>
              <w14:schemeClr w14:val="tx1"/>
            </w14:solidFill>
          </w14:textFill>
        </w:rPr>
        <w:t>固定资产投资</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0.5</w:t>
      </w:r>
      <w:r>
        <w:rPr>
          <w:rFonts w:hint="eastAsia" w:ascii="仿宋" w:hAnsi="仿宋" w:eastAsia="仿宋" w:cs="仿宋"/>
          <w:b w:val="0"/>
          <w:bCs w:val="0"/>
          <w:color w:val="000000" w:themeColor="text1"/>
          <w:sz w:val="32"/>
          <w:szCs w:val="32"/>
          <w:highlight w:val="none"/>
          <w14:textFill>
            <w14:solidFill>
              <w14:schemeClr w14:val="tx1"/>
            </w14:solidFill>
          </w14:textFill>
        </w:rPr>
        <w:t>个百分点</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但500万元以上项目投资在全区投资中仍占重要组成部分；房地产开发完成投资同37.7亿元，同比增长11.3%，比去年同期增速缩减46.3个百分点</w:t>
      </w:r>
      <w:r>
        <w:rPr>
          <w:rFonts w:hint="eastAsia" w:ascii="仿宋" w:hAnsi="仿宋" w:eastAsia="仿宋" w:cs="仿宋"/>
          <w:b w:val="0"/>
          <w:bCs w:val="0"/>
          <w:color w:val="000000" w:themeColor="text1"/>
          <w:sz w:val="32"/>
          <w:szCs w:val="32"/>
          <w:highlight w:val="none"/>
          <w14:textFill>
            <w14:solidFill>
              <w14:schemeClr w14:val="tx1"/>
            </w14:solidFill>
          </w14:textFill>
        </w:rPr>
        <w:t>，占投资总额的</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27</w:t>
      </w:r>
      <w:r>
        <w:rPr>
          <w:rFonts w:hint="eastAsia" w:ascii="仿宋" w:hAnsi="仿宋" w:eastAsia="仿宋" w:cs="仿宋"/>
          <w:b w:val="0"/>
          <w:bCs w:val="0"/>
          <w:color w:val="000000" w:themeColor="text1"/>
          <w:sz w:val="32"/>
          <w:szCs w:val="32"/>
          <w:highlight w:val="none"/>
          <w14:textFill>
            <w14:solidFill>
              <w14:schemeClr w14:val="tx1"/>
            </w14:solidFill>
          </w14:textFill>
        </w:rPr>
        <w:t>%，拉动</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全区</w:t>
      </w:r>
      <w:r>
        <w:rPr>
          <w:rFonts w:hint="eastAsia" w:ascii="仿宋" w:hAnsi="仿宋" w:eastAsia="仿宋" w:cs="仿宋"/>
          <w:b w:val="0"/>
          <w:bCs w:val="0"/>
          <w:color w:val="000000" w:themeColor="text1"/>
          <w:sz w:val="32"/>
          <w:szCs w:val="32"/>
          <w:highlight w:val="none"/>
          <w14:textFill>
            <w14:solidFill>
              <w14:schemeClr w14:val="tx1"/>
            </w14:solidFill>
          </w14:textFill>
        </w:rPr>
        <w:t>固定资产投资增长</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2.8</w:t>
      </w:r>
      <w:r>
        <w:rPr>
          <w:rFonts w:hint="eastAsia" w:ascii="仿宋" w:hAnsi="仿宋" w:eastAsia="仿宋" w:cs="仿宋"/>
          <w:b w:val="0"/>
          <w:bCs w:val="0"/>
          <w:color w:val="000000" w:themeColor="text1"/>
          <w:sz w:val="32"/>
          <w:szCs w:val="32"/>
          <w:highlight w:val="none"/>
          <w14:textFill>
            <w14:solidFill>
              <w14:schemeClr w14:val="tx1"/>
            </w14:solidFill>
          </w14:textFill>
        </w:rPr>
        <w:t>个百分点</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eastAsia="仿宋" w:cs="仿宋"/>
          <w:b w:val="0"/>
          <w:bCs w:val="0"/>
          <w:color w:val="000000" w:themeColor="text1"/>
          <w:szCs w:val="32"/>
          <w:highlight w:val="none"/>
          <w:lang w:eastAsia="zh-CN"/>
          <w14:textFill>
            <w14:solidFill>
              <w14:schemeClr w14:val="tx1"/>
            </w14:solidFill>
          </w14:textFill>
        </w:rPr>
        <w:t>投资</w:t>
      </w:r>
      <w:r>
        <w:rPr>
          <w:rFonts w:hint="eastAsia" w:ascii="仿宋" w:eastAsia="仿宋" w:cs="仿宋"/>
          <w:b w:val="0"/>
          <w:bCs w:val="0"/>
          <w:color w:val="000000" w:themeColor="text1"/>
          <w:szCs w:val="32"/>
          <w:highlight w:val="none"/>
          <w14:textFill>
            <w14:solidFill>
              <w14:schemeClr w14:val="tx1"/>
            </w14:solidFill>
          </w14:textFill>
        </w:rPr>
        <w:t>完成情况可见图</w:t>
      </w:r>
      <w:r>
        <w:rPr>
          <w:rFonts w:hint="eastAsia" w:ascii="仿宋" w:eastAsia="仿宋" w:cs="仿宋"/>
          <w:b w:val="0"/>
          <w:bCs w:val="0"/>
          <w:color w:val="000000" w:themeColor="text1"/>
          <w:szCs w:val="32"/>
          <w:highlight w:val="none"/>
          <w:lang w:eastAsia="zh-CN"/>
          <w14:textFill>
            <w14:solidFill>
              <w14:schemeClr w14:val="tx1"/>
            </w14:solidFill>
          </w14:textFill>
        </w:rPr>
        <w:t>表：</w:t>
      </w:r>
      <w:r>
        <w:rPr>
          <w:rFonts w:hint="eastAsia" w:ascii="仿宋" w:eastAsia="仿宋" w:cs="仿宋"/>
          <w:b w:val="0"/>
          <w:bCs w:val="0"/>
          <w:color w:val="000000" w:themeColor="text1"/>
          <w:szCs w:val="32"/>
          <w:highlight w:val="none"/>
          <w:lang w:val="en-US" w:eastAsia="zh-CN"/>
          <w14:textFill>
            <w14:solidFill>
              <w14:schemeClr w14:val="tx1"/>
            </w14:solidFill>
          </w14:textFill>
        </w:rPr>
        <w:t xml:space="preserve"> </w:t>
      </w:r>
    </w:p>
    <w:p w14:paraId="0A6835C3">
      <w:pPr>
        <w:pStyle w:val="2"/>
        <w:rPr>
          <w:highlight w:val="none"/>
        </w:rPr>
      </w:pPr>
      <w:r>
        <w:rPr>
          <w:rFonts w:hint="eastAsia" w:ascii="仿宋" w:eastAsia="仿宋" w:cs="仿宋"/>
          <w:b w:val="0"/>
          <w:bCs w:val="0"/>
          <w:color w:val="000000"/>
          <w:szCs w:val="32"/>
          <w:highlight w:val="none"/>
          <w:lang w:val="en-US" w:eastAsia="zh-CN"/>
        </w:rPr>
        <w:t xml:space="preserve">  </w:t>
      </w:r>
      <w:r>
        <w:rPr>
          <w:rFonts w:hint="eastAsia" w:ascii="仿宋" w:eastAsia="仿宋" w:cs="仿宋"/>
          <w:b w:val="0"/>
          <w:bCs w:val="0"/>
          <w:color w:val="000000"/>
          <w:szCs w:val="32"/>
          <w:highlight w:val="none"/>
          <w:lang w:val="en-US" w:eastAsia="zh-CN"/>
        </w:rPr>
        <w:drawing>
          <wp:inline distT="0" distB="0" distL="114300" distR="114300">
            <wp:extent cx="5256530" cy="2897505"/>
            <wp:effectExtent l="4445" t="4445" r="15875" b="1270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ascii="仿宋" w:eastAsia="仿宋" w:cs="仿宋"/>
          <w:b w:val="0"/>
          <w:bCs w:val="0"/>
          <w:color w:val="000000"/>
          <w:szCs w:val="32"/>
          <w:highlight w:val="none"/>
          <w:lang w:val="en-US" w:eastAsia="zh-CN"/>
        </w:rPr>
        <w:t xml:space="preserve">                                                                                                                                                                                                                                                                                                                                                                                                                                                                 </w:t>
      </w:r>
    </w:p>
    <w:p w14:paraId="578DFB1D">
      <w:pPr>
        <w:ind w:firstLine="672"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olor w:val="000000" w:themeColor="text1"/>
          <w:spacing w:val="8"/>
          <w:sz w:val="32"/>
          <w:szCs w:val="32"/>
          <w:highlight w:val="none"/>
          <w14:textFill>
            <w14:solidFill>
              <w14:schemeClr w14:val="tx1"/>
            </w14:solidFill>
          </w14:textFill>
        </w:rPr>
        <w:t>三</w:t>
      </w:r>
      <w:r>
        <w:rPr>
          <w:rFonts w:hint="eastAsia" w:ascii="仿宋" w:hAnsi="仿宋" w:eastAsia="仿宋"/>
          <w:color w:val="000000" w:themeColor="text1"/>
          <w:spacing w:val="8"/>
          <w:sz w:val="32"/>
          <w:szCs w:val="32"/>
          <w:highlight w:val="none"/>
          <w:lang w:eastAsia="zh-CN"/>
          <w14:textFill>
            <w14:solidFill>
              <w14:schemeClr w14:val="tx1"/>
            </w14:solidFill>
          </w14:textFill>
        </w:rPr>
        <w:t>大</w:t>
      </w:r>
      <w:r>
        <w:rPr>
          <w:rFonts w:hint="eastAsia" w:ascii="仿宋" w:hAnsi="仿宋" w:eastAsia="仿宋"/>
          <w:color w:val="000000" w:themeColor="text1"/>
          <w:spacing w:val="8"/>
          <w:sz w:val="32"/>
          <w:szCs w:val="32"/>
          <w:highlight w:val="none"/>
          <w14:textFill>
            <w14:solidFill>
              <w14:schemeClr w14:val="tx1"/>
            </w14:solidFill>
          </w14:textFill>
        </w:rPr>
        <w:t>产业投资差距明显</w:t>
      </w:r>
      <w:r>
        <w:rPr>
          <w:rFonts w:hint="eastAsia" w:ascii="仿宋" w:eastAsia="仿宋" w:cs="仿宋"/>
          <w:color w:val="000000" w:themeColor="text1"/>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由于朝阳区第一产业占比较小的特点，近</w:t>
      </w:r>
      <w:r>
        <w:rPr>
          <w:rFonts w:hint="eastAsia" w:ascii="仿宋" w:hAnsi="仿宋" w:eastAsia="仿宋" w:cs="仿宋"/>
          <w:color w:val="000000" w:themeColor="text1"/>
          <w:sz w:val="32"/>
          <w:szCs w:val="32"/>
          <w:highlight w:val="none"/>
          <w:lang w:eastAsia="zh-CN"/>
          <w14:textFill>
            <w14:solidFill>
              <w14:schemeClr w14:val="tx1"/>
            </w14:solidFill>
          </w14:textFill>
        </w:rPr>
        <w:t>几</w:t>
      </w:r>
      <w:r>
        <w:rPr>
          <w:rFonts w:hint="eastAsia" w:ascii="仿宋" w:hAnsi="仿宋" w:eastAsia="仿宋" w:cs="仿宋"/>
          <w:color w:val="000000" w:themeColor="text1"/>
          <w:sz w:val="32"/>
          <w:szCs w:val="32"/>
          <w:highlight w:val="none"/>
          <w14:textFill>
            <w14:solidFill>
              <w14:schemeClr w14:val="tx1"/>
            </w14:solidFill>
          </w14:textFill>
        </w:rPr>
        <w:t>年来</w:t>
      </w:r>
      <w:r>
        <w:rPr>
          <w:rFonts w:hint="eastAsia" w:ascii="仿宋" w:hAnsi="仿宋" w:eastAsia="仿宋" w:cs="仿宋"/>
          <w:color w:val="000000" w:themeColor="text1"/>
          <w:sz w:val="32"/>
          <w:szCs w:val="32"/>
          <w:highlight w:val="none"/>
          <w:lang w:eastAsia="zh-CN"/>
          <w14:textFill>
            <w14:solidFill>
              <w14:schemeClr w14:val="tx1"/>
            </w14:solidFill>
          </w14:textFill>
        </w:rPr>
        <w:t>投资</w:t>
      </w:r>
      <w:r>
        <w:rPr>
          <w:rFonts w:hint="eastAsia" w:ascii="仿宋" w:hAnsi="仿宋" w:eastAsia="仿宋" w:cs="仿宋"/>
          <w:color w:val="000000" w:themeColor="text1"/>
          <w:sz w:val="32"/>
          <w:szCs w:val="32"/>
          <w:highlight w:val="none"/>
          <w14:textFill>
            <w14:solidFill>
              <w14:schemeClr w14:val="tx1"/>
            </w14:solidFill>
          </w14:textFill>
        </w:rPr>
        <w:t>一度处于停摆状态</w:t>
      </w:r>
      <w:r>
        <w:rPr>
          <w:rFonts w:hint="eastAsia" w:ascii="仿宋" w:eastAsia="仿宋"/>
          <w:color w:val="000000" w:themeColor="text1"/>
          <w:sz w:val="32"/>
          <w:szCs w:val="32"/>
          <w:highlight w:val="none"/>
          <w14:textFill>
            <w14:solidFill>
              <w14:schemeClr w14:val="tx1"/>
            </w14:solidFill>
          </w14:textFill>
        </w:rPr>
        <w:t>，1-12月份，</w:t>
      </w:r>
      <w:r>
        <w:rPr>
          <w:rFonts w:hint="eastAsia" w:ascii="仿宋" w:eastAsia="仿宋"/>
          <w:color w:val="000000" w:themeColor="text1"/>
          <w:spacing w:val="8"/>
          <w:sz w:val="32"/>
          <w:szCs w:val="32"/>
          <w:highlight w:val="none"/>
          <w14:textFill>
            <w14:solidFill>
              <w14:schemeClr w14:val="tx1"/>
            </w14:solidFill>
          </w14:textFill>
        </w:rPr>
        <w:t>第一产业投资为0；第二产业投资</w:t>
      </w:r>
      <w:r>
        <w:rPr>
          <w:rFonts w:hint="eastAsia" w:ascii="仿宋" w:hAnsi="仿宋" w:eastAsia="仿宋" w:cs="仿宋"/>
          <w:color w:val="000000" w:themeColor="text1"/>
          <w:spacing w:val="8"/>
          <w:sz w:val="32"/>
          <w:szCs w:val="32"/>
          <w:highlight w:val="none"/>
          <w14:textFill>
            <w14:solidFill>
              <w14:schemeClr w14:val="tx1"/>
            </w14:solidFill>
          </w14:textFill>
        </w:rPr>
        <w:t>2</w:t>
      </w:r>
      <w:r>
        <w:rPr>
          <w:rFonts w:hint="eastAsia" w:ascii="仿宋" w:hAnsi="仿宋" w:eastAsia="仿宋" w:cs="仿宋"/>
          <w:color w:val="000000" w:themeColor="text1"/>
          <w:spacing w:val="8"/>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pacing w:val="8"/>
          <w:sz w:val="32"/>
          <w:szCs w:val="32"/>
          <w:highlight w:val="none"/>
          <w14:textFill>
            <w14:solidFill>
              <w14:schemeClr w14:val="tx1"/>
            </w14:solidFill>
          </w14:textFill>
        </w:rPr>
        <w:t>.</w:t>
      </w:r>
      <w:r>
        <w:rPr>
          <w:rFonts w:hint="eastAsia" w:ascii="仿宋" w:hAnsi="仿宋" w:eastAsia="仿宋" w:cs="仿宋"/>
          <w:color w:val="000000" w:themeColor="text1"/>
          <w:spacing w:val="8"/>
          <w:sz w:val="32"/>
          <w:szCs w:val="32"/>
          <w:highlight w:val="none"/>
          <w:lang w:val="en-US" w:eastAsia="zh-CN"/>
          <w14:textFill>
            <w14:solidFill>
              <w14:schemeClr w14:val="tx1"/>
            </w14:solidFill>
          </w14:textFill>
        </w:rPr>
        <w:t>5</w:t>
      </w:r>
      <w:r>
        <w:rPr>
          <w:rFonts w:hint="eastAsia" w:ascii="仿宋" w:eastAsia="仿宋"/>
          <w:color w:val="000000" w:themeColor="text1"/>
          <w:spacing w:val="8"/>
          <w:sz w:val="32"/>
          <w:szCs w:val="32"/>
          <w:highlight w:val="none"/>
          <w14:textFill>
            <w14:solidFill>
              <w14:schemeClr w14:val="tx1"/>
            </w14:solidFill>
          </w14:textFill>
        </w:rPr>
        <w:t>亿元，同比</w:t>
      </w:r>
      <w:r>
        <w:rPr>
          <w:rFonts w:hint="eastAsia" w:ascii="仿宋" w:hAnsi="仿宋" w:eastAsia="仿宋" w:cs="仿宋"/>
          <w:color w:val="000000" w:themeColor="text1"/>
          <w:spacing w:val="8"/>
          <w:sz w:val="32"/>
          <w:szCs w:val="32"/>
          <w:highlight w:val="none"/>
          <w:lang w:eastAsia="zh-CN"/>
          <w14:textFill>
            <w14:solidFill>
              <w14:schemeClr w14:val="tx1"/>
            </w14:solidFill>
          </w14:textFill>
        </w:rPr>
        <w:t>下降</w:t>
      </w:r>
      <w:r>
        <w:rPr>
          <w:rFonts w:hint="eastAsia" w:ascii="仿宋" w:hAnsi="仿宋" w:eastAsia="仿宋" w:cs="仿宋"/>
          <w:color w:val="000000" w:themeColor="text1"/>
          <w:spacing w:val="8"/>
          <w:sz w:val="32"/>
          <w:szCs w:val="32"/>
          <w:highlight w:val="none"/>
          <w:lang w:val="en-US" w:eastAsia="zh-CN"/>
          <w14:textFill>
            <w14:solidFill>
              <w14:schemeClr w14:val="tx1"/>
            </w14:solidFill>
          </w14:textFill>
        </w:rPr>
        <w:t>11</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.9%</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比去年同期增速缩减28个百分点</w:t>
      </w:r>
      <w:r>
        <w:rPr>
          <w:rFonts w:hint="eastAsia" w:ascii="仿宋" w:hAnsi="仿宋" w:eastAsia="仿宋" w:cs="仿宋"/>
          <w:color w:val="000000" w:themeColor="text1"/>
          <w:sz w:val="32"/>
          <w:szCs w:val="32"/>
          <w:highlight w:val="none"/>
          <w14:textFill>
            <w14:solidFill>
              <w14:schemeClr w14:val="tx1"/>
            </w14:solidFill>
          </w14:textFill>
        </w:rPr>
        <w:t>，占投资总额的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18.2</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eastAsia="仿宋"/>
          <w:color w:val="000000" w:themeColor="text1"/>
          <w:spacing w:val="8"/>
          <w:sz w:val="32"/>
          <w:szCs w:val="32"/>
          <w:highlight w:val="none"/>
          <w14:textFill>
            <w14:solidFill>
              <w14:schemeClr w14:val="tx1"/>
            </w14:solidFill>
          </w14:textFill>
        </w:rPr>
        <w:t>第三产业投资</w:t>
      </w:r>
      <w:r>
        <w:rPr>
          <w:rFonts w:hint="eastAsia" w:ascii="仿宋" w:hAnsi="仿宋" w:eastAsia="仿宋" w:cs="仿宋"/>
          <w:color w:val="000000" w:themeColor="text1"/>
          <w:spacing w:val="8"/>
          <w:sz w:val="32"/>
          <w:szCs w:val="32"/>
          <w:highlight w:val="none"/>
          <w:lang w:val="en-US" w:eastAsia="zh-CN"/>
          <w14:textFill>
            <w14:solidFill>
              <w14:schemeClr w14:val="tx1"/>
            </w14:solidFill>
          </w14:textFill>
        </w:rPr>
        <w:t>114.3</w:t>
      </w:r>
      <w:r>
        <w:rPr>
          <w:rFonts w:hint="eastAsia" w:ascii="仿宋" w:eastAsia="仿宋"/>
          <w:color w:val="000000" w:themeColor="text1"/>
          <w:spacing w:val="8"/>
          <w:sz w:val="32"/>
          <w:szCs w:val="32"/>
          <w:highlight w:val="none"/>
          <w14:textFill>
            <w14:solidFill>
              <w14:schemeClr w14:val="tx1"/>
            </w14:solidFill>
          </w14:textFill>
        </w:rPr>
        <w:t>亿元，同比</w:t>
      </w:r>
      <w:r>
        <w:rPr>
          <w:rFonts w:hint="eastAsia" w:ascii="仿宋" w:hAnsi="仿宋" w:eastAsia="仿宋" w:cs="仿宋"/>
          <w:color w:val="000000" w:themeColor="text1"/>
          <w:spacing w:val="8"/>
          <w:sz w:val="32"/>
          <w:szCs w:val="32"/>
          <w:highlight w:val="none"/>
          <w:lang w:eastAsia="zh-CN"/>
          <w14:textFill>
            <w14:solidFill>
              <w14:schemeClr w14:val="tx1"/>
            </w14:solidFill>
          </w14:textFill>
        </w:rPr>
        <w:t>增长</w:t>
      </w:r>
      <w:r>
        <w:rPr>
          <w:rFonts w:hint="eastAsia" w:ascii="仿宋" w:hAnsi="仿宋" w:eastAsia="仿宋" w:cs="仿宋"/>
          <w:color w:val="000000" w:themeColor="text1"/>
          <w:spacing w:val="8"/>
          <w:sz w:val="32"/>
          <w:szCs w:val="32"/>
          <w:highlight w:val="none"/>
          <w:lang w:val="en-US" w:eastAsia="zh-CN"/>
          <w14:textFill>
            <w14:solidFill>
              <w14:schemeClr w14:val="tx1"/>
            </w14:solidFill>
          </w14:textFill>
        </w:rPr>
        <w:t>6.1%</w:t>
      </w:r>
      <w:r>
        <w:rPr>
          <w:rFonts w:hint="eastAsia" w:ascii="仿宋" w:eastAsia="仿宋" w:cs="仿宋"/>
          <w:color w:val="000000" w:themeColor="text1"/>
          <w:sz w:val="32"/>
          <w:szCs w:val="32"/>
          <w:highlight w:val="none"/>
          <w14:textFill>
            <w14:solidFill>
              <w14:schemeClr w14:val="tx1"/>
            </w14:solidFill>
          </w14:textFill>
        </w:rPr>
        <w:t>，</w:t>
      </w:r>
      <w:r>
        <w:rPr>
          <w:rFonts w:hint="eastAsia" w:ascii="仿宋" w:eastAsia="仿宋" w:cs="仿宋"/>
          <w:color w:val="000000" w:themeColor="text1"/>
          <w:sz w:val="32"/>
          <w:szCs w:val="32"/>
          <w:highlight w:val="none"/>
          <w:lang w:val="en-US" w:eastAsia="zh-CN"/>
          <w14:textFill>
            <w14:solidFill>
              <w14:schemeClr w14:val="tx1"/>
            </w14:solidFill>
          </w14:textFill>
        </w:rPr>
        <w:t>比</w:t>
      </w:r>
      <w:r>
        <w:rPr>
          <w:rFonts w:hint="eastAsia" w:ascii="仿宋" w:hAnsi="仿宋" w:eastAsia="仿宋" w:cs="仿宋"/>
          <w:color w:val="000000" w:themeColor="text1"/>
          <w:sz w:val="32"/>
          <w:szCs w:val="32"/>
          <w:highlight w:val="none"/>
          <w:lang w:val="en-US" w:eastAsia="zh-CN"/>
          <w14:textFill>
            <w14:solidFill>
              <w14:schemeClr w14:val="tx1"/>
            </w14:solidFill>
          </w14:textFill>
        </w:rPr>
        <w:t>去年同期增速缩减6.4</w:t>
      </w:r>
      <w:r>
        <w:rPr>
          <w:rFonts w:hint="eastAsia" w:ascii="仿宋" w:hAnsi="仿宋" w:eastAsia="仿宋" w:cs="仿宋"/>
          <w:color w:val="000000" w:themeColor="text1"/>
          <w:sz w:val="32"/>
          <w:szCs w:val="32"/>
          <w:highlight w:val="none"/>
          <w14:textFill>
            <w14:solidFill>
              <w14:schemeClr w14:val="tx1"/>
            </w14:solidFill>
          </w14:textFill>
        </w:rPr>
        <w:t>个百分点，</w:t>
      </w:r>
      <w:r>
        <w:rPr>
          <w:rFonts w:hint="eastAsia" w:ascii="仿宋" w:hAnsi="仿宋" w:eastAsia="仿宋" w:cs="仿宋"/>
          <w:color w:val="000000" w:themeColor="text1"/>
          <w:spacing w:val="8"/>
          <w:sz w:val="32"/>
          <w:szCs w:val="32"/>
          <w:highlight w:val="none"/>
          <w14:textFill>
            <w14:solidFill>
              <w14:schemeClr w14:val="tx1"/>
            </w14:solidFill>
          </w14:textFill>
        </w:rPr>
        <w:t>占</w:t>
      </w:r>
      <w:r>
        <w:rPr>
          <w:rFonts w:hint="eastAsia" w:ascii="仿宋" w:hAnsi="仿宋" w:eastAsia="仿宋" w:cs="仿宋"/>
          <w:color w:val="000000" w:themeColor="text1"/>
          <w:sz w:val="32"/>
          <w:szCs w:val="32"/>
          <w:highlight w:val="none"/>
          <w14:textFill>
            <w14:solidFill>
              <w14:schemeClr w14:val="tx1"/>
            </w14:solidFill>
          </w14:textFill>
        </w:rPr>
        <w:t>投资总额的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81</w:t>
      </w:r>
      <w:r>
        <w:rPr>
          <w:rFonts w:hint="eastAsia" w:ascii="仿宋" w:hAnsi="仿宋" w:eastAsia="仿宋" w:cs="仿宋"/>
          <w:color w:val="000000" w:themeColor="text1"/>
          <w:spacing w:val="8"/>
          <w:sz w:val="32"/>
          <w:szCs w:val="32"/>
          <w:highlight w:val="none"/>
          <w14:textFill>
            <w14:solidFill>
              <w14:schemeClr w14:val="tx1"/>
            </w14:solidFill>
          </w14:textFill>
        </w:rPr>
        <w:t>.</w:t>
      </w:r>
      <w:r>
        <w:rPr>
          <w:rFonts w:hint="eastAsia" w:ascii="仿宋" w:hAnsi="仿宋" w:eastAsia="仿宋" w:cs="仿宋"/>
          <w:color w:val="000000" w:themeColor="text1"/>
          <w:spacing w:val="8"/>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pacing w:val="8"/>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在全部投资中</w:t>
      </w:r>
      <w:r>
        <w:rPr>
          <w:rFonts w:hint="eastAsia" w:ascii="仿宋" w:hAnsi="仿宋" w:eastAsia="仿宋" w:cs="仿宋"/>
          <w:color w:val="000000" w:themeColor="text1"/>
          <w:sz w:val="32"/>
          <w:szCs w:val="32"/>
          <w:highlight w:val="none"/>
          <w:lang w:eastAsia="zh-CN"/>
          <w14:textFill>
            <w14:solidFill>
              <w14:schemeClr w14:val="tx1"/>
            </w14:solidFill>
          </w14:textFill>
        </w:rPr>
        <w:t>，第三产业投资均呈增长态势，</w:t>
      </w:r>
      <w:r>
        <w:rPr>
          <w:rFonts w:hint="eastAsia" w:ascii="仿宋" w:hAnsi="仿宋" w:eastAsia="仿宋" w:cs="仿宋"/>
          <w:color w:val="000000" w:themeColor="text1"/>
          <w:sz w:val="32"/>
          <w:szCs w:val="32"/>
          <w:highlight w:val="none"/>
          <w:lang w:val="en-US" w:eastAsia="zh-CN"/>
          <w14:textFill>
            <w14:solidFill>
              <w14:schemeClr w14:val="tx1"/>
            </w14:solidFill>
          </w14:textFill>
        </w:rPr>
        <w:t>且</w:t>
      </w:r>
      <w:r>
        <w:rPr>
          <w:rFonts w:hint="eastAsia" w:ascii="仿宋" w:hAnsi="仿宋" w:eastAsia="仿宋" w:cs="仿宋"/>
          <w:color w:val="000000" w:themeColor="text1"/>
          <w:sz w:val="32"/>
          <w:szCs w:val="32"/>
          <w:highlight w:val="none"/>
          <w14:textFill>
            <w14:solidFill>
              <w14:schemeClr w14:val="tx1"/>
            </w14:solidFill>
          </w14:textFill>
        </w:rPr>
        <w:t>所占比重较大，</w:t>
      </w:r>
      <w:r>
        <w:rPr>
          <w:rFonts w:hint="eastAsia" w:ascii="仿宋" w:hAnsi="仿宋" w:eastAsia="仿宋" w:cs="仿宋"/>
          <w:color w:val="000000" w:themeColor="text1"/>
          <w:sz w:val="32"/>
          <w:szCs w:val="32"/>
          <w:highlight w:val="none"/>
          <w:lang w:eastAsia="zh-CN"/>
          <w14:textFill>
            <w14:solidFill>
              <w14:schemeClr w14:val="tx1"/>
            </w14:solidFill>
          </w14:textFill>
        </w:rPr>
        <w:t>投资作用明显，</w:t>
      </w:r>
      <w:r>
        <w:rPr>
          <w:rFonts w:hint="eastAsia" w:ascii="仿宋" w:hAnsi="仿宋" w:eastAsia="仿宋" w:cs="仿宋"/>
          <w:color w:val="000000" w:themeColor="text1"/>
          <w:sz w:val="32"/>
          <w:szCs w:val="32"/>
          <w:highlight w:val="none"/>
          <w14:textFill>
            <w14:solidFill>
              <w14:schemeClr w14:val="tx1"/>
            </w14:solidFill>
          </w14:textFill>
        </w:rPr>
        <w:t>拉动</w:t>
      </w:r>
      <w:r>
        <w:rPr>
          <w:rFonts w:hint="eastAsia" w:ascii="仿宋" w:hAnsi="仿宋" w:eastAsia="仿宋" w:cs="仿宋"/>
          <w:color w:val="000000" w:themeColor="text1"/>
          <w:sz w:val="32"/>
          <w:szCs w:val="32"/>
          <w:highlight w:val="none"/>
          <w:lang w:eastAsia="zh-CN"/>
          <w14:textFill>
            <w14:solidFill>
              <w14:schemeClr w14:val="tx1"/>
            </w14:solidFill>
          </w14:textFill>
        </w:rPr>
        <w:t>全区</w:t>
      </w:r>
      <w:r>
        <w:rPr>
          <w:rFonts w:hint="eastAsia" w:ascii="仿宋" w:hAnsi="仿宋" w:eastAsia="仿宋" w:cs="仿宋"/>
          <w:color w:val="000000" w:themeColor="text1"/>
          <w:sz w:val="32"/>
          <w:szCs w:val="32"/>
          <w:highlight w:val="none"/>
          <w14:textFill>
            <w14:solidFill>
              <w14:schemeClr w14:val="tx1"/>
            </w14:solidFill>
          </w14:textFill>
        </w:rPr>
        <w:t>固定资产投资增长</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8</w:t>
      </w:r>
      <w:r>
        <w:rPr>
          <w:rFonts w:hint="eastAsia" w:ascii="仿宋" w:hAnsi="仿宋" w:eastAsia="仿宋" w:cs="仿宋"/>
          <w:color w:val="000000" w:themeColor="text1"/>
          <w:sz w:val="32"/>
          <w:szCs w:val="32"/>
          <w:highlight w:val="none"/>
          <w14:textFill>
            <w14:solidFill>
              <w14:schemeClr w14:val="tx1"/>
            </w14:solidFill>
          </w14:textFill>
        </w:rPr>
        <w:t>个百分点。</w:t>
      </w:r>
    </w:p>
    <w:tbl>
      <w:tblPr>
        <w:tblStyle w:val="10"/>
        <w:tblpPr w:leftFromText="180" w:rightFromText="180" w:vertAnchor="text" w:horzAnchor="page" w:tblpX="2285" w:tblpY="361"/>
        <w:tblOverlap w:val="never"/>
        <w:tblW w:w="7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3"/>
        <w:gridCol w:w="2513"/>
        <w:gridCol w:w="2514"/>
      </w:tblGrid>
      <w:tr w14:paraId="55C1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0" w:type="dxa"/>
            <w:gridSpan w:val="3"/>
            <w:tcBorders>
              <w:top w:val="nil"/>
              <w:left w:val="nil"/>
              <w:bottom w:val="nil"/>
              <w:right w:val="nil"/>
            </w:tcBorders>
            <w:noWrap/>
            <w:vAlign w:val="bottom"/>
          </w:tcPr>
          <w:p w14:paraId="2326A73D">
            <w:pPr>
              <w:spacing w:line="440" w:lineRule="exact"/>
              <w:jc w:val="center"/>
              <w:rPr>
                <w:rFonts w:ascii="仿宋" w:eastAsia="仿宋" w:cs="Arial"/>
                <w:b/>
                <w:bCs/>
                <w:color w:val="000000" w:themeColor="text1"/>
                <w:szCs w:val="32"/>
                <w:highlight w:val="none"/>
                <w14:textFill>
                  <w14:solidFill>
                    <w14:schemeClr w14:val="tx1"/>
                  </w14:solidFill>
                </w14:textFill>
              </w:rPr>
            </w:pPr>
            <w:r>
              <w:rPr>
                <w:rFonts w:hint="eastAsia" w:ascii="宋体" w:eastAsia="宋体" w:cs="宋体"/>
                <w:b/>
                <w:bCs/>
                <w:color w:val="000000" w:themeColor="text1"/>
                <w:sz w:val="28"/>
                <w:szCs w:val="28"/>
                <w:highlight w:val="none"/>
                <w:lang w:eastAsia="zh-CN"/>
                <w14:textFill>
                  <w14:solidFill>
                    <w14:schemeClr w14:val="tx1"/>
                  </w14:solidFill>
                </w14:textFill>
              </w:rPr>
              <w:t>1-12月份固定资产投资产业构成情况</w:t>
            </w:r>
          </w:p>
        </w:tc>
      </w:tr>
      <w:tr w14:paraId="597A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513" w:type="dxa"/>
            <w:tcBorders>
              <w:top w:val="single" w:color="auto" w:sz="4" w:space="0"/>
              <w:left w:val="nil"/>
              <w:bottom w:val="single" w:color="auto" w:sz="4" w:space="0"/>
              <w:right w:val="single" w:color="auto" w:sz="4" w:space="0"/>
            </w:tcBorders>
            <w:vAlign w:val="bottom"/>
          </w:tcPr>
          <w:p w14:paraId="65CC78A1">
            <w:pPr>
              <w:spacing w:line="440" w:lineRule="exact"/>
              <w:jc w:val="center"/>
              <w:rPr>
                <w:rFonts w:hint="eastAsia" w:ascii="仿宋" w:eastAsia="仿宋" w:cs="Arial"/>
                <w:b/>
                <w:bCs/>
                <w:color w:val="000000" w:themeColor="text1"/>
                <w:sz w:val="28"/>
                <w:szCs w:val="28"/>
                <w:highlight w:val="none"/>
                <w:lang w:val="en-US" w:eastAsia="zh-CN"/>
                <w14:textFill>
                  <w14:solidFill>
                    <w14:schemeClr w14:val="tx1"/>
                  </w14:solidFill>
                </w14:textFill>
              </w:rPr>
            </w:pPr>
            <w:r>
              <w:rPr>
                <w:rFonts w:hint="eastAsia" w:ascii="仿宋" w:eastAsia="仿宋" w:cs="Arial"/>
                <w:b/>
                <w:bCs/>
                <w:color w:val="000000" w:themeColor="text1"/>
                <w:sz w:val="28"/>
                <w:szCs w:val="28"/>
                <w:highlight w:val="none"/>
                <w:lang w:val="en-US" w:eastAsia="zh-CN"/>
                <w14:textFill>
                  <w14:solidFill>
                    <w14:schemeClr w14:val="tx1"/>
                  </w14:solidFill>
                </w14:textFill>
              </w:rPr>
              <w:t>分 类</w:t>
            </w:r>
          </w:p>
        </w:tc>
        <w:tc>
          <w:tcPr>
            <w:tcW w:w="2513" w:type="dxa"/>
            <w:tcBorders>
              <w:top w:val="single" w:color="auto" w:sz="4" w:space="0"/>
              <w:left w:val="nil"/>
              <w:bottom w:val="single" w:color="auto" w:sz="4" w:space="0"/>
              <w:right w:val="single" w:color="auto" w:sz="4" w:space="0"/>
            </w:tcBorders>
            <w:vAlign w:val="bottom"/>
          </w:tcPr>
          <w:p w14:paraId="3CF84B05">
            <w:pPr>
              <w:spacing w:line="440" w:lineRule="exact"/>
              <w:jc w:val="center"/>
              <w:rPr>
                <w:rFonts w:hint="eastAsia" w:ascii="仿宋" w:eastAsia="仿宋" w:cs="Arial"/>
                <w:b/>
                <w:bCs/>
                <w:color w:val="000000" w:themeColor="text1"/>
                <w:sz w:val="28"/>
                <w:szCs w:val="28"/>
                <w:highlight w:val="none"/>
                <w:lang w:val="en-US" w:eastAsia="zh-CN"/>
                <w14:textFill>
                  <w14:solidFill>
                    <w14:schemeClr w14:val="tx1"/>
                  </w14:solidFill>
                </w14:textFill>
              </w:rPr>
            </w:pPr>
            <w:r>
              <w:rPr>
                <w:rFonts w:hint="eastAsia" w:ascii="仿宋" w:eastAsia="仿宋" w:cs="Arial"/>
                <w:b/>
                <w:bCs/>
                <w:color w:val="000000" w:themeColor="text1"/>
                <w:sz w:val="28"/>
                <w:szCs w:val="28"/>
                <w:highlight w:val="none"/>
                <w:lang w:val="en-US" w:eastAsia="zh-CN"/>
                <w14:textFill>
                  <w14:solidFill>
                    <w14:schemeClr w14:val="tx1"/>
                  </w14:solidFill>
                </w14:textFill>
              </w:rPr>
              <w:t>投资额（亿元）</w:t>
            </w:r>
          </w:p>
        </w:tc>
        <w:tc>
          <w:tcPr>
            <w:tcW w:w="2514" w:type="dxa"/>
            <w:tcBorders>
              <w:top w:val="single" w:color="auto" w:sz="4" w:space="0"/>
              <w:left w:val="nil"/>
              <w:bottom w:val="single" w:color="auto" w:sz="4" w:space="0"/>
              <w:right w:val="nil"/>
            </w:tcBorders>
            <w:vAlign w:val="bottom"/>
          </w:tcPr>
          <w:p w14:paraId="3002A1A5">
            <w:pPr>
              <w:spacing w:line="440" w:lineRule="exact"/>
              <w:jc w:val="center"/>
              <w:rPr>
                <w:rFonts w:hint="eastAsia" w:ascii="仿宋" w:eastAsia="仿宋" w:cs="Arial"/>
                <w:b/>
                <w:bCs/>
                <w:color w:val="000000" w:themeColor="text1"/>
                <w:sz w:val="28"/>
                <w:szCs w:val="28"/>
                <w:highlight w:val="none"/>
                <w:lang w:val="en-US" w:eastAsia="zh-CN"/>
                <w14:textFill>
                  <w14:solidFill>
                    <w14:schemeClr w14:val="tx1"/>
                  </w14:solidFill>
                </w14:textFill>
              </w:rPr>
            </w:pPr>
            <w:r>
              <w:rPr>
                <w:rFonts w:hint="eastAsia" w:ascii="仿宋" w:eastAsia="仿宋" w:cs="Arial"/>
                <w:b/>
                <w:bCs/>
                <w:color w:val="000000" w:themeColor="text1"/>
                <w:sz w:val="28"/>
                <w:szCs w:val="28"/>
                <w:highlight w:val="none"/>
                <w14:textFill>
                  <w14:solidFill>
                    <w14:schemeClr w14:val="tx1"/>
                  </w14:solidFill>
                </w14:textFill>
              </w:rPr>
              <w:t>占比 (%)</w:t>
            </w:r>
          </w:p>
        </w:tc>
      </w:tr>
      <w:tr w14:paraId="3744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513" w:type="dxa"/>
            <w:tcBorders>
              <w:top w:val="nil"/>
              <w:left w:val="nil"/>
              <w:bottom w:val="single" w:color="auto" w:sz="4" w:space="0"/>
              <w:right w:val="single" w:color="auto" w:sz="4" w:space="0"/>
            </w:tcBorders>
            <w:vAlign w:val="bottom"/>
          </w:tcPr>
          <w:p w14:paraId="38C841B0">
            <w:pPr>
              <w:spacing w:line="440" w:lineRule="exact"/>
              <w:jc w:val="center"/>
              <w:rPr>
                <w:rFonts w:hint="eastAsia"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Arial"/>
                <w:color w:val="000000" w:themeColor="text1"/>
                <w:sz w:val="28"/>
                <w:szCs w:val="28"/>
                <w:highlight w:val="none"/>
                <w:lang w:val="en-US" w:eastAsia="zh-CN"/>
                <w14:textFill>
                  <w14:solidFill>
                    <w14:schemeClr w14:val="tx1"/>
                  </w14:solidFill>
                </w14:textFill>
              </w:rPr>
              <w:t>总 投 资</w:t>
            </w:r>
          </w:p>
        </w:tc>
        <w:tc>
          <w:tcPr>
            <w:tcW w:w="2513" w:type="dxa"/>
            <w:tcBorders>
              <w:top w:val="nil"/>
              <w:left w:val="nil"/>
              <w:bottom w:val="single" w:color="auto" w:sz="4" w:space="0"/>
              <w:right w:val="single" w:color="auto" w:sz="4" w:space="0"/>
            </w:tcBorders>
            <w:vAlign w:val="bottom"/>
          </w:tcPr>
          <w:p w14:paraId="158B732A">
            <w:pPr>
              <w:spacing w:line="440" w:lineRule="exact"/>
              <w:jc w:val="center"/>
              <w:rPr>
                <w:rFonts w:hint="default"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Arial"/>
                <w:color w:val="000000" w:themeColor="text1"/>
                <w:sz w:val="28"/>
                <w:szCs w:val="28"/>
                <w:highlight w:val="none"/>
                <w:lang w:val="en-US" w:eastAsia="zh-CN"/>
                <w14:textFill>
                  <w14:solidFill>
                    <w14:schemeClr w14:val="tx1"/>
                  </w14:solidFill>
                </w14:textFill>
              </w:rPr>
              <w:t>139.8</w:t>
            </w:r>
          </w:p>
        </w:tc>
        <w:tc>
          <w:tcPr>
            <w:tcW w:w="2514" w:type="dxa"/>
            <w:tcBorders>
              <w:top w:val="nil"/>
              <w:left w:val="nil"/>
              <w:bottom w:val="single" w:color="auto" w:sz="4" w:space="0"/>
              <w:right w:val="nil"/>
            </w:tcBorders>
            <w:vAlign w:val="bottom"/>
          </w:tcPr>
          <w:p w14:paraId="4192AAAB">
            <w:pPr>
              <w:spacing w:line="440" w:lineRule="exact"/>
              <w:ind w:firstLine="560" w:firstLineChars="200"/>
              <w:jc w:val="right"/>
              <w:rPr>
                <w:rFonts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Arial"/>
                <w:color w:val="000000" w:themeColor="text1"/>
                <w:sz w:val="28"/>
                <w:szCs w:val="28"/>
                <w:highlight w:val="none"/>
                <w14:textFill>
                  <w14:solidFill>
                    <w14:schemeClr w14:val="tx1"/>
                  </w14:solidFill>
                </w14:textFill>
              </w:rPr>
              <w:t>—　</w:t>
            </w:r>
          </w:p>
        </w:tc>
      </w:tr>
      <w:tr w14:paraId="5131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513" w:type="dxa"/>
            <w:tcBorders>
              <w:top w:val="nil"/>
              <w:left w:val="nil"/>
              <w:bottom w:val="single" w:color="auto" w:sz="4" w:space="0"/>
              <w:right w:val="single" w:color="auto" w:sz="4" w:space="0"/>
            </w:tcBorders>
            <w:vAlign w:val="bottom"/>
          </w:tcPr>
          <w:p w14:paraId="39DB84B0">
            <w:pPr>
              <w:spacing w:line="440" w:lineRule="exact"/>
              <w:jc w:val="center"/>
              <w:rPr>
                <w:rFonts w:hint="eastAsia"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Arial"/>
                <w:color w:val="000000" w:themeColor="text1"/>
                <w:sz w:val="28"/>
                <w:szCs w:val="28"/>
                <w:highlight w:val="none"/>
                <w:lang w:val="en-US" w:eastAsia="zh-CN"/>
                <w14:textFill>
                  <w14:solidFill>
                    <w14:schemeClr w14:val="tx1"/>
                  </w14:solidFill>
                </w14:textFill>
              </w:rPr>
              <w:t>第一产业投资</w:t>
            </w:r>
          </w:p>
        </w:tc>
        <w:tc>
          <w:tcPr>
            <w:tcW w:w="2513" w:type="dxa"/>
            <w:tcBorders>
              <w:top w:val="nil"/>
              <w:left w:val="nil"/>
              <w:bottom w:val="single" w:color="auto" w:sz="4" w:space="0"/>
              <w:right w:val="single" w:color="auto" w:sz="4" w:space="0"/>
            </w:tcBorders>
            <w:vAlign w:val="bottom"/>
          </w:tcPr>
          <w:p w14:paraId="1DBD5581">
            <w:pPr>
              <w:spacing w:line="440" w:lineRule="exact"/>
              <w:jc w:val="center"/>
              <w:rPr>
                <w:rFonts w:hint="eastAsia"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Arial"/>
                <w:color w:val="000000" w:themeColor="text1"/>
                <w:sz w:val="28"/>
                <w:szCs w:val="28"/>
                <w:highlight w:val="none"/>
                <w:lang w:val="en-US" w:eastAsia="zh-CN"/>
                <w14:textFill>
                  <w14:solidFill>
                    <w14:schemeClr w14:val="tx1"/>
                  </w14:solidFill>
                </w14:textFill>
              </w:rPr>
              <w:t>0</w:t>
            </w:r>
          </w:p>
        </w:tc>
        <w:tc>
          <w:tcPr>
            <w:tcW w:w="2514" w:type="dxa"/>
            <w:tcBorders>
              <w:top w:val="nil"/>
              <w:left w:val="nil"/>
              <w:bottom w:val="single" w:color="auto" w:sz="4" w:space="0"/>
              <w:right w:val="nil"/>
            </w:tcBorders>
            <w:vAlign w:val="bottom"/>
          </w:tcPr>
          <w:p w14:paraId="2A24B369">
            <w:pPr>
              <w:spacing w:line="440" w:lineRule="exact"/>
              <w:ind w:firstLine="560" w:firstLineChars="200"/>
              <w:jc w:val="right"/>
              <w:rPr>
                <w:rFonts w:hint="eastAsia"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宋体"/>
                <w:color w:val="000000" w:themeColor="text1"/>
                <w:sz w:val="28"/>
                <w:szCs w:val="28"/>
                <w:highlight w:val="none"/>
                <w14:textFill>
                  <w14:solidFill>
                    <w14:schemeClr w14:val="tx1"/>
                  </w14:solidFill>
                </w14:textFill>
              </w:rPr>
              <w:t>0</w:t>
            </w:r>
          </w:p>
        </w:tc>
      </w:tr>
      <w:tr w14:paraId="1BF8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513" w:type="dxa"/>
            <w:tcBorders>
              <w:top w:val="nil"/>
              <w:left w:val="nil"/>
              <w:bottom w:val="single" w:color="auto" w:sz="4" w:space="0"/>
              <w:right w:val="single" w:color="auto" w:sz="4" w:space="0"/>
            </w:tcBorders>
            <w:vAlign w:val="bottom"/>
          </w:tcPr>
          <w:p w14:paraId="0518B2F5">
            <w:pPr>
              <w:spacing w:line="440" w:lineRule="exact"/>
              <w:jc w:val="center"/>
              <w:rPr>
                <w:rFonts w:hint="eastAsia"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Arial"/>
                <w:color w:val="000000" w:themeColor="text1"/>
                <w:sz w:val="28"/>
                <w:szCs w:val="28"/>
                <w:highlight w:val="none"/>
                <w:lang w:val="en-US" w:eastAsia="zh-CN"/>
                <w14:textFill>
                  <w14:solidFill>
                    <w14:schemeClr w14:val="tx1"/>
                  </w14:solidFill>
                </w14:textFill>
              </w:rPr>
              <w:t>第二产业投资</w:t>
            </w:r>
          </w:p>
        </w:tc>
        <w:tc>
          <w:tcPr>
            <w:tcW w:w="2513" w:type="dxa"/>
            <w:tcBorders>
              <w:top w:val="nil"/>
              <w:left w:val="nil"/>
              <w:bottom w:val="single" w:color="auto" w:sz="4" w:space="0"/>
              <w:right w:val="single" w:color="auto" w:sz="4" w:space="0"/>
            </w:tcBorders>
            <w:vAlign w:val="bottom"/>
          </w:tcPr>
          <w:p w14:paraId="6496FDB7">
            <w:pPr>
              <w:spacing w:line="440" w:lineRule="exact"/>
              <w:jc w:val="center"/>
              <w:rPr>
                <w:rFonts w:hint="default"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Arial"/>
                <w:color w:val="000000" w:themeColor="text1"/>
                <w:sz w:val="28"/>
                <w:szCs w:val="28"/>
                <w:highlight w:val="none"/>
                <w:lang w:val="en-US" w:eastAsia="zh-CN"/>
                <w14:textFill>
                  <w14:solidFill>
                    <w14:schemeClr w14:val="tx1"/>
                  </w14:solidFill>
                </w14:textFill>
              </w:rPr>
              <w:t>25.5</w:t>
            </w:r>
          </w:p>
        </w:tc>
        <w:tc>
          <w:tcPr>
            <w:tcW w:w="2514" w:type="dxa"/>
            <w:tcBorders>
              <w:top w:val="nil"/>
              <w:left w:val="nil"/>
              <w:bottom w:val="single" w:color="auto" w:sz="4" w:space="0"/>
              <w:right w:val="nil"/>
            </w:tcBorders>
            <w:vAlign w:val="bottom"/>
          </w:tcPr>
          <w:p w14:paraId="34FABA37">
            <w:pPr>
              <w:spacing w:line="440" w:lineRule="exact"/>
              <w:ind w:firstLine="560" w:firstLineChars="200"/>
              <w:jc w:val="right"/>
              <w:rPr>
                <w:rFonts w:hint="default"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宋体"/>
                <w:color w:val="000000" w:themeColor="text1"/>
                <w:sz w:val="28"/>
                <w:szCs w:val="28"/>
                <w:highlight w:val="none"/>
                <w:lang w:val="en-US" w:eastAsia="zh-CN"/>
                <w14:textFill>
                  <w14:solidFill>
                    <w14:schemeClr w14:val="tx1"/>
                  </w14:solidFill>
                </w14:textFill>
              </w:rPr>
              <w:t>18.2</w:t>
            </w:r>
          </w:p>
        </w:tc>
      </w:tr>
      <w:tr w14:paraId="4E74B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513" w:type="dxa"/>
            <w:tcBorders>
              <w:top w:val="nil"/>
              <w:left w:val="nil"/>
              <w:bottom w:val="single" w:color="auto" w:sz="4" w:space="0"/>
              <w:right w:val="single" w:color="auto" w:sz="4" w:space="0"/>
            </w:tcBorders>
            <w:vAlign w:val="bottom"/>
          </w:tcPr>
          <w:p w14:paraId="3E388221">
            <w:pPr>
              <w:spacing w:line="440" w:lineRule="exact"/>
              <w:jc w:val="center"/>
              <w:rPr>
                <w:rFonts w:hint="eastAsia"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Arial"/>
                <w:color w:val="000000" w:themeColor="text1"/>
                <w:sz w:val="28"/>
                <w:szCs w:val="28"/>
                <w:highlight w:val="none"/>
                <w:lang w:val="en-US" w:eastAsia="zh-CN"/>
                <w14:textFill>
                  <w14:solidFill>
                    <w14:schemeClr w14:val="tx1"/>
                  </w14:solidFill>
                </w14:textFill>
              </w:rPr>
              <w:t>第三产业投资</w:t>
            </w:r>
          </w:p>
        </w:tc>
        <w:tc>
          <w:tcPr>
            <w:tcW w:w="2513" w:type="dxa"/>
            <w:tcBorders>
              <w:top w:val="nil"/>
              <w:left w:val="nil"/>
              <w:bottom w:val="single" w:color="auto" w:sz="4" w:space="0"/>
              <w:right w:val="single" w:color="auto" w:sz="4" w:space="0"/>
            </w:tcBorders>
            <w:vAlign w:val="bottom"/>
          </w:tcPr>
          <w:p w14:paraId="67AAD446">
            <w:pPr>
              <w:spacing w:line="440" w:lineRule="exact"/>
              <w:jc w:val="center"/>
              <w:rPr>
                <w:rFonts w:hint="default"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Arial"/>
                <w:color w:val="000000" w:themeColor="text1"/>
                <w:sz w:val="28"/>
                <w:szCs w:val="28"/>
                <w:highlight w:val="none"/>
                <w:lang w:val="en-US" w:eastAsia="zh-CN"/>
                <w14:textFill>
                  <w14:solidFill>
                    <w14:schemeClr w14:val="tx1"/>
                  </w14:solidFill>
                </w14:textFill>
              </w:rPr>
              <w:t>114.3</w:t>
            </w:r>
          </w:p>
        </w:tc>
        <w:tc>
          <w:tcPr>
            <w:tcW w:w="2514" w:type="dxa"/>
            <w:tcBorders>
              <w:top w:val="nil"/>
              <w:left w:val="nil"/>
              <w:bottom w:val="single" w:color="auto" w:sz="4" w:space="0"/>
              <w:right w:val="nil"/>
            </w:tcBorders>
            <w:vAlign w:val="bottom"/>
          </w:tcPr>
          <w:p w14:paraId="049319B5">
            <w:pPr>
              <w:spacing w:line="440" w:lineRule="exact"/>
              <w:ind w:firstLine="560" w:firstLineChars="200"/>
              <w:jc w:val="right"/>
              <w:rPr>
                <w:rFonts w:hint="default" w:ascii="仿宋" w:eastAsia="仿宋" w:cs="Arial"/>
                <w:color w:val="000000" w:themeColor="text1"/>
                <w:sz w:val="28"/>
                <w:szCs w:val="28"/>
                <w:highlight w:val="none"/>
                <w:lang w:val="en-US" w:eastAsia="zh-CN"/>
                <w14:textFill>
                  <w14:solidFill>
                    <w14:schemeClr w14:val="tx1"/>
                  </w14:solidFill>
                </w14:textFill>
              </w:rPr>
            </w:pPr>
            <w:r>
              <w:rPr>
                <w:rFonts w:hint="eastAsia" w:ascii="仿宋" w:eastAsia="仿宋" w:cs="宋体"/>
                <w:color w:val="000000" w:themeColor="text1"/>
                <w:sz w:val="28"/>
                <w:szCs w:val="28"/>
                <w:highlight w:val="none"/>
                <w:lang w:val="en-US" w:eastAsia="zh-CN"/>
                <w14:textFill>
                  <w14:solidFill>
                    <w14:schemeClr w14:val="tx1"/>
                  </w14:solidFill>
                </w14:textFill>
              </w:rPr>
              <w:t>81.8</w:t>
            </w:r>
          </w:p>
        </w:tc>
      </w:tr>
    </w:tbl>
    <w:p w14:paraId="097F83AD">
      <w:pPr>
        <w:ind w:left="0" w:firstLine="0" w:firstLineChars="0"/>
        <w:rPr>
          <w:rFonts w:hint="eastAsia" w:ascii="仿宋" w:eastAsia="仿宋"/>
          <w:bCs/>
          <w:color w:val="000000" w:themeColor="text1"/>
          <w:szCs w:val="32"/>
          <w:highlight w:val="none"/>
          <w:lang w:eastAsia="zh-CN"/>
          <w14:textFill>
            <w14:solidFill>
              <w14:schemeClr w14:val="tx1"/>
            </w14:solidFill>
          </w14:textFill>
        </w:rPr>
      </w:pPr>
    </w:p>
    <w:p w14:paraId="6616F068">
      <w:pPr>
        <w:rPr>
          <w:rFonts w:hint="eastAsia" w:ascii="黑体" w:eastAsia="黑体" w:cs="黑体"/>
          <w:b w:val="0"/>
          <w:bCs w:val="0"/>
          <w:highlight w:val="none"/>
        </w:rPr>
      </w:pPr>
      <w:r>
        <w:rPr>
          <w:rFonts w:hint="eastAsia" w:ascii="黑体" w:eastAsia="黑体" w:cs="黑体"/>
          <w:b w:val="0"/>
          <w:bCs w:val="0"/>
          <w:highlight w:val="none"/>
        </w:rPr>
        <w:t>六、贸易和服务业</w:t>
      </w:r>
    </w:p>
    <w:p w14:paraId="47322AAF">
      <w:pPr>
        <w:tabs>
          <w:tab w:val="left" w:pos="853"/>
        </w:tabs>
        <w:ind w:left="0" w:firstLine="640" w:firstLineChars="200"/>
        <w:rPr>
          <w:rFonts w:hint="eastAsia" w:ascii="仿宋" w:eastAsia="仿宋" w:cs="仿宋"/>
          <w:sz w:val="32"/>
          <w:szCs w:val="32"/>
          <w:highlight w:val="none"/>
          <w:lang w:val="en-US" w:eastAsia="zh-CN"/>
        </w:rPr>
      </w:pPr>
      <w:r>
        <w:rPr>
          <w:rFonts w:hint="eastAsia"/>
          <w:highlight w:val="none"/>
        </w:rPr>
        <w:t>20</w:t>
      </w:r>
      <w:r>
        <w:rPr>
          <w:rFonts w:hint="eastAsia"/>
          <w:highlight w:val="none"/>
          <w:lang w:val="en-US" w:eastAsia="zh-CN"/>
        </w:rPr>
        <w:t>24</w:t>
      </w:r>
      <w:r>
        <w:rPr>
          <w:rFonts w:hint="eastAsia"/>
          <w:highlight w:val="none"/>
        </w:rPr>
        <w:t>年</w:t>
      </w:r>
      <w:r>
        <w:rPr>
          <w:rFonts w:hint="eastAsia" w:ascii="仿宋" w:eastAsia="仿宋" w:cs="仿宋"/>
          <w:sz w:val="32"/>
          <w:szCs w:val="32"/>
          <w:highlight w:val="none"/>
          <w:lang w:val="en-US" w:eastAsia="zh-CN"/>
        </w:rPr>
        <w:t>朝阳区限额以上贸易业企业达到181户，其中：149户批发零售企业，32户住宿餐饮企业。全区限额以上社会消费品零售额完成</w:t>
      </w:r>
      <w:r>
        <w:rPr>
          <w:rFonts w:hint="eastAsia" w:ascii="仿宋" w:eastAsia="仿宋"/>
          <w:sz w:val="32"/>
          <w:szCs w:val="32"/>
          <w:highlight w:val="none"/>
          <w:lang w:val="en-US" w:eastAsia="zh-CN"/>
        </w:rPr>
        <w:t>218.0</w:t>
      </w:r>
      <w:r>
        <w:rPr>
          <w:rFonts w:hint="eastAsia" w:ascii="仿宋" w:eastAsia="仿宋" w:cs="仿宋"/>
          <w:sz w:val="32"/>
          <w:szCs w:val="32"/>
          <w:highlight w:val="none"/>
          <w:lang w:val="en-US" w:eastAsia="zh-CN"/>
        </w:rPr>
        <w:t>亿元，同比增长1.9%。全区限额以上社零额以-5.1%的较低增速开局，之后增速逐月上升在1-6月达到今年最高，增速为4.4%，随后开始逐步放缓，在最后一个月以1.9%的增速收官。</w:t>
      </w:r>
    </w:p>
    <w:p w14:paraId="751F2922">
      <w:pPr>
        <w:tabs>
          <w:tab w:val="left" w:pos="853"/>
        </w:tabs>
        <w:ind w:left="0" w:firstLine="640" w:firstLineChars="200"/>
        <w:rPr>
          <w:rFonts w:hint="eastAsia" w:ascii="仿宋" w:eastAsia="仿宋" w:cs="仿宋"/>
          <w:sz w:val="32"/>
          <w:szCs w:val="32"/>
          <w:highlight w:val="none"/>
          <w:lang w:val="en-US" w:eastAsia="zh-CN"/>
        </w:rPr>
      </w:pPr>
    </w:p>
    <w:p w14:paraId="4B1E12A7">
      <w:pPr>
        <w:tabs>
          <w:tab w:val="left" w:pos="853"/>
        </w:tabs>
        <w:ind w:left="0" w:firstLine="640" w:firstLineChars="200"/>
        <w:rPr>
          <w:rFonts w:hint="eastAsia" w:ascii="仿宋" w:eastAsia="仿宋" w:cs="仿宋"/>
          <w:sz w:val="32"/>
          <w:szCs w:val="32"/>
          <w:highlight w:val="none"/>
          <w:lang w:val="en-US" w:eastAsia="zh-CN"/>
        </w:rPr>
      </w:pPr>
      <w:r>
        <w:rPr>
          <w:rFonts w:hint="eastAsia" w:ascii="仿宋" w:eastAsia="仿宋" w:cs="仿宋"/>
          <w:sz w:val="32"/>
          <w:szCs w:val="32"/>
          <w:highlight w:val="none"/>
          <w:lang w:val="en-US" w:eastAsia="zh-CN"/>
        </w:rPr>
        <w:drawing>
          <wp:inline distT="0" distB="0" distL="114300" distR="114300">
            <wp:extent cx="4851400" cy="4141470"/>
            <wp:effectExtent l="4445" t="4445" r="20955" b="698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22E4D7">
      <w:pPr>
        <w:tabs>
          <w:tab w:val="left" w:pos="853"/>
        </w:tabs>
        <w:rPr>
          <w:highlight w:val="none"/>
        </w:rPr>
      </w:pPr>
    </w:p>
    <w:p w14:paraId="3570CBBC">
      <w:pPr>
        <w:pStyle w:val="2"/>
        <w:rPr>
          <w:rFonts w:hint="eastAsia" w:ascii="仿宋" w:hAnsi="仿宋" w:eastAsia="仿宋" w:cs="仿宋"/>
          <w:b w:val="0"/>
          <w:bCs w:val="0"/>
          <w:highlight w:val="none"/>
        </w:rPr>
      </w:pPr>
      <w:r>
        <w:rPr>
          <w:rFonts w:hint="eastAsia" w:ascii="仿宋" w:hAnsi="仿宋" w:eastAsia="仿宋" w:cs="仿宋"/>
          <w:b w:val="0"/>
          <w:bCs w:val="0"/>
          <w:highlight w:val="none"/>
        </w:rPr>
        <w:t>截至2024年底，朝阳区规模以上服务业累计完成营业收入122.7亿元，同比增长11.4%。其中，纳入GDP核算的重点行业企业为78户，累计完成营业收入102.3亿元，同比增长22.1%。</w:t>
      </w:r>
    </w:p>
    <w:p w14:paraId="6D6DFD8D">
      <w:pPr>
        <w:pStyle w:val="2"/>
        <w:keepNext w:val="0"/>
        <w:keepLines w:val="0"/>
        <w:pageBreakBefore w:val="0"/>
        <w:widowControl w:val="0"/>
        <w:kinsoku/>
        <w:wordWrap/>
        <w:overflowPunct/>
        <w:topLinePunct w:val="0"/>
        <w:autoSpaceDE/>
        <w:autoSpaceDN/>
        <w:bidi w:val="0"/>
        <w:adjustRightInd/>
        <w:snapToGrid/>
        <w:spacing w:line="576" w:lineRule="exact"/>
        <w:textAlignment w:val="auto"/>
        <w:rPr>
          <w:b w:val="0"/>
          <w:bCs w:val="0"/>
        </w:rPr>
      </w:pPr>
      <w:r>
        <w:rPr>
          <w:rFonts w:hint="eastAsia"/>
          <w:b w:val="0"/>
          <w:bCs w:val="0"/>
        </w:rPr>
        <w:t>七、财政</w:t>
      </w:r>
    </w:p>
    <w:p w14:paraId="34EA0E6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lang w:eastAsia="zh-CN"/>
        </w:rPr>
      </w:pPr>
      <w:r>
        <w:rPr>
          <w:rFonts w:hint="eastAsia" w:ascii="仿宋" w:hAnsi="仿宋" w:eastAsia="仿宋" w:cs="仿宋"/>
        </w:rPr>
        <w:t>20</w:t>
      </w:r>
      <w:r>
        <w:rPr>
          <w:rFonts w:hint="eastAsia" w:ascii="仿宋" w:hAnsi="仿宋" w:eastAsia="仿宋" w:cs="仿宋"/>
          <w:lang w:val="en-US" w:eastAsia="zh-CN"/>
        </w:rPr>
        <w:t>24</w:t>
      </w:r>
      <w:r>
        <w:rPr>
          <w:rFonts w:hint="eastAsia" w:ascii="仿宋" w:hAnsi="仿宋" w:eastAsia="仿宋" w:cs="仿宋"/>
        </w:rPr>
        <w:t>年，朝阳区</w:t>
      </w:r>
      <w:r>
        <w:rPr>
          <w:rFonts w:hint="eastAsia" w:ascii="仿宋" w:hAnsi="仿宋" w:eastAsia="仿宋" w:cs="仿宋"/>
          <w:lang w:eastAsia="zh-CN"/>
        </w:rPr>
        <w:t>纵深推进全面深化改革，做好进一步全面深化改革工作，推动高质量发展明显进位，充分发挥朝阳优势，</w:t>
      </w:r>
      <w:r>
        <w:rPr>
          <w:rFonts w:hint="eastAsia" w:ascii="仿宋" w:hAnsi="仿宋" w:eastAsia="仿宋" w:cs="仿宋"/>
        </w:rPr>
        <w:t>财政预算得到有效执行。全年全口径财政收入实现</w:t>
      </w:r>
      <w:r>
        <w:rPr>
          <w:rFonts w:hint="eastAsia" w:ascii="仿宋" w:hAnsi="仿宋" w:eastAsia="仿宋" w:cs="仿宋"/>
          <w:lang w:val="en-US" w:eastAsia="zh-CN"/>
        </w:rPr>
        <w:t>52</w:t>
      </w:r>
      <w:r>
        <w:rPr>
          <w:rFonts w:hint="eastAsia" w:ascii="仿宋" w:hAnsi="仿宋" w:eastAsia="仿宋" w:cs="仿宋"/>
        </w:rPr>
        <w:t>亿元</w:t>
      </w:r>
      <w:r>
        <w:rPr>
          <w:rFonts w:hint="eastAsia" w:ascii="仿宋" w:hAnsi="仿宋" w:eastAsia="仿宋" w:cs="仿宋"/>
          <w:lang w:eastAsia="zh-CN"/>
        </w:rPr>
        <w:t>。</w:t>
      </w:r>
      <w:r>
        <w:rPr>
          <w:rFonts w:hint="eastAsia" w:ascii="仿宋" w:hAnsi="仿宋" w:eastAsia="仿宋" w:cs="仿宋"/>
        </w:rPr>
        <w:t>一般公共预算收入完成</w:t>
      </w:r>
      <w:r>
        <w:rPr>
          <w:rFonts w:hint="eastAsia" w:ascii="仿宋" w:hAnsi="仿宋" w:eastAsia="仿宋" w:cs="仿宋"/>
          <w:lang w:val="en-US" w:eastAsia="zh-CN"/>
        </w:rPr>
        <w:t>9.6</w:t>
      </w:r>
      <w:r>
        <w:rPr>
          <w:rFonts w:hint="eastAsia" w:ascii="仿宋" w:hAnsi="仿宋" w:eastAsia="仿宋" w:cs="仿宋"/>
        </w:rPr>
        <w:t>亿元，同比</w:t>
      </w:r>
      <w:r>
        <w:rPr>
          <w:rFonts w:hint="eastAsia" w:ascii="仿宋" w:hAnsi="仿宋" w:eastAsia="仿宋" w:cs="仿宋"/>
          <w:lang w:eastAsia="zh-CN"/>
        </w:rPr>
        <w:t>下降</w:t>
      </w:r>
      <w:r>
        <w:rPr>
          <w:rFonts w:hint="eastAsia" w:ascii="仿宋" w:hAnsi="仿宋" w:eastAsia="仿宋" w:cs="仿宋"/>
          <w:lang w:val="en-US" w:eastAsia="zh-CN"/>
        </w:rPr>
        <w:t>9.7%</w:t>
      </w:r>
      <w:r>
        <w:rPr>
          <w:rFonts w:hint="eastAsia" w:ascii="仿宋" w:hAnsi="仿宋" w:eastAsia="仿宋" w:cs="仿宋"/>
        </w:rPr>
        <w:t>；一般公共预算支出完成</w:t>
      </w:r>
      <w:r>
        <w:rPr>
          <w:rFonts w:hint="eastAsia" w:ascii="仿宋" w:hAnsi="仿宋" w:eastAsia="仿宋" w:cs="仿宋"/>
          <w:lang w:val="en-US" w:eastAsia="zh-CN"/>
        </w:rPr>
        <w:t>26.6</w:t>
      </w:r>
      <w:r>
        <w:rPr>
          <w:rFonts w:hint="eastAsia" w:ascii="仿宋" w:hAnsi="仿宋" w:eastAsia="仿宋" w:cs="仿宋"/>
        </w:rPr>
        <w:t>亿元，同比</w:t>
      </w:r>
      <w:r>
        <w:rPr>
          <w:rFonts w:hint="eastAsia" w:ascii="仿宋" w:hAnsi="仿宋" w:eastAsia="仿宋" w:cs="仿宋"/>
          <w:lang w:eastAsia="zh-CN"/>
        </w:rPr>
        <w:t>下降</w:t>
      </w:r>
      <w:r>
        <w:rPr>
          <w:rFonts w:hint="eastAsia" w:ascii="仿宋" w:hAnsi="仿宋" w:eastAsia="仿宋" w:cs="仿宋"/>
          <w:lang w:val="en-US" w:eastAsia="zh-CN"/>
        </w:rPr>
        <w:t>15.1</w:t>
      </w:r>
      <w:r>
        <w:rPr>
          <w:rFonts w:hint="eastAsia" w:ascii="仿宋" w:hAnsi="仿宋" w:eastAsia="仿宋" w:cs="仿宋"/>
        </w:rPr>
        <w:t>%</w:t>
      </w:r>
      <w:r>
        <w:rPr>
          <w:rFonts w:hint="eastAsia" w:ascii="仿宋" w:hAnsi="仿宋" w:eastAsia="仿宋" w:cs="仿宋"/>
          <w:lang w:eastAsia="zh-CN"/>
        </w:rPr>
        <w:t>。</w:t>
      </w:r>
    </w:p>
    <w:p w14:paraId="377FE37E">
      <w:pPr>
        <w:pStyle w:val="2"/>
        <w:keepNext w:val="0"/>
        <w:keepLines w:val="0"/>
        <w:pageBreakBefore w:val="0"/>
        <w:widowControl w:val="0"/>
        <w:kinsoku/>
        <w:wordWrap/>
        <w:overflowPunct/>
        <w:topLinePunct w:val="0"/>
        <w:autoSpaceDE/>
        <w:autoSpaceDN/>
        <w:bidi w:val="0"/>
        <w:adjustRightInd/>
        <w:snapToGrid/>
        <w:spacing w:line="576" w:lineRule="exact"/>
        <w:textAlignment w:val="auto"/>
        <w:rPr>
          <w:b w:val="0"/>
          <w:bCs w:val="0"/>
        </w:rPr>
      </w:pPr>
      <w:r>
        <w:rPr>
          <w:rFonts w:hint="eastAsia"/>
          <w:b w:val="0"/>
          <w:bCs w:val="0"/>
          <w:lang w:eastAsia="zh-CN"/>
        </w:rPr>
        <w:t>八</w:t>
      </w:r>
      <w:r>
        <w:rPr>
          <w:rFonts w:hint="eastAsia"/>
          <w:b w:val="0"/>
          <w:bCs w:val="0"/>
        </w:rPr>
        <w:t>、教育、</w:t>
      </w:r>
      <w:r>
        <w:rPr>
          <w:rFonts w:hint="eastAsia"/>
          <w:b w:val="0"/>
          <w:bCs w:val="0"/>
          <w:color w:val="000000" w:themeColor="text1"/>
          <w14:textFill>
            <w14:solidFill>
              <w14:schemeClr w14:val="tx1"/>
            </w14:solidFill>
          </w14:textFill>
        </w:rPr>
        <w:t>卫生</w:t>
      </w:r>
    </w:p>
    <w:p w14:paraId="1306B23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年全区共有义务教育阶段学校</w:t>
      </w:r>
      <w:r>
        <w:rPr>
          <w:rFonts w:hint="eastAsia" w:ascii="仿宋" w:hAnsi="仿宋" w:eastAsia="仿宋" w:cs="仿宋"/>
          <w:lang w:val="en-US" w:eastAsia="zh-CN"/>
        </w:rPr>
        <w:t>35</w:t>
      </w:r>
      <w:r>
        <w:rPr>
          <w:rFonts w:hint="eastAsia" w:ascii="仿宋" w:hAnsi="仿宋" w:eastAsia="仿宋" w:cs="仿宋"/>
        </w:rPr>
        <w:t>所。其中，小学</w:t>
      </w:r>
      <w:r>
        <w:rPr>
          <w:rFonts w:hint="eastAsia" w:ascii="仿宋" w:hAnsi="仿宋" w:eastAsia="仿宋" w:cs="仿宋"/>
          <w:lang w:val="en-US" w:eastAsia="zh-CN"/>
        </w:rPr>
        <w:t>22</w:t>
      </w:r>
      <w:r>
        <w:rPr>
          <w:rFonts w:hint="eastAsia" w:ascii="仿宋" w:hAnsi="仿宋" w:eastAsia="仿宋" w:cs="仿宋"/>
        </w:rPr>
        <w:t>所，小学教师</w:t>
      </w:r>
      <w:r>
        <w:rPr>
          <w:rFonts w:hint="eastAsia" w:ascii="仿宋" w:hAnsi="仿宋" w:eastAsia="仿宋" w:cs="仿宋"/>
          <w:lang w:val="en-US" w:eastAsia="zh-CN"/>
        </w:rPr>
        <w:t>1602</w:t>
      </w:r>
      <w:r>
        <w:rPr>
          <w:rFonts w:hint="eastAsia" w:ascii="仿宋" w:hAnsi="仿宋" w:eastAsia="仿宋" w:cs="仿宋"/>
        </w:rPr>
        <w:t>名，在校学生</w:t>
      </w:r>
      <w:r>
        <w:rPr>
          <w:rFonts w:hint="eastAsia" w:ascii="仿宋" w:hAnsi="仿宋" w:eastAsia="仿宋" w:cs="仿宋"/>
          <w:lang w:val="en-US" w:eastAsia="zh-CN"/>
        </w:rPr>
        <w:t>2</w:t>
      </w:r>
      <w:r>
        <w:rPr>
          <w:rFonts w:hint="eastAsia" w:ascii="仿宋" w:hAnsi="仿宋" w:eastAsia="仿宋" w:cs="仿宋"/>
        </w:rPr>
        <w:t>万人；普通初中</w:t>
      </w:r>
      <w:r>
        <w:rPr>
          <w:rFonts w:hint="eastAsia" w:ascii="仿宋" w:hAnsi="仿宋" w:eastAsia="仿宋" w:cs="仿宋"/>
          <w:lang w:val="en-US" w:eastAsia="zh-CN"/>
        </w:rPr>
        <w:t>13</w:t>
      </w:r>
      <w:r>
        <w:rPr>
          <w:rFonts w:hint="eastAsia" w:ascii="仿宋" w:hAnsi="仿宋" w:eastAsia="仿宋" w:cs="仿宋"/>
        </w:rPr>
        <w:t>所，初中教师</w:t>
      </w:r>
      <w:r>
        <w:rPr>
          <w:rFonts w:hint="eastAsia" w:ascii="仿宋" w:hAnsi="仿宋" w:eastAsia="仿宋" w:cs="仿宋"/>
          <w:lang w:val="en-US" w:eastAsia="zh-CN"/>
        </w:rPr>
        <w:t>994</w:t>
      </w:r>
      <w:r>
        <w:rPr>
          <w:rFonts w:hint="eastAsia" w:ascii="仿宋" w:hAnsi="仿宋" w:eastAsia="仿宋" w:cs="仿宋"/>
        </w:rPr>
        <w:t>名，在校学生</w:t>
      </w:r>
      <w:r>
        <w:rPr>
          <w:rFonts w:hint="eastAsia" w:ascii="仿宋" w:hAnsi="仿宋" w:eastAsia="仿宋" w:cs="仿宋"/>
          <w:lang w:val="en-US" w:eastAsia="zh-CN"/>
        </w:rPr>
        <w:t>0.9</w:t>
      </w:r>
      <w:r>
        <w:rPr>
          <w:rFonts w:hint="eastAsia" w:ascii="仿宋" w:hAnsi="仿宋" w:eastAsia="仿宋" w:cs="仿宋"/>
        </w:rPr>
        <w:t>万人。</w:t>
      </w:r>
    </w:p>
    <w:p w14:paraId="3965D9B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2024年</w:t>
      </w:r>
      <w:r>
        <w:rPr>
          <w:rFonts w:hint="eastAsia" w:ascii="仿宋" w:hAnsi="仿宋" w:eastAsia="仿宋" w:cs="仿宋"/>
          <w:color w:val="000000" w:themeColor="text1"/>
          <w14:textFill>
            <w14:solidFill>
              <w14:schemeClr w14:val="tx1"/>
            </w14:solidFill>
          </w14:textFill>
        </w:rPr>
        <w:t>全区共有医疗机构</w:t>
      </w:r>
      <w:r>
        <w:rPr>
          <w:rFonts w:hint="eastAsia" w:ascii="仿宋" w:hAnsi="仿宋" w:eastAsia="仿宋" w:cs="仿宋"/>
          <w:color w:val="000000" w:themeColor="text1"/>
          <w:lang w:val="en-US" w:eastAsia="zh-CN"/>
          <w14:textFill>
            <w14:solidFill>
              <w14:schemeClr w14:val="tx1"/>
            </w14:solidFill>
          </w14:textFill>
        </w:rPr>
        <w:t>520</w:t>
      </w:r>
      <w:r>
        <w:rPr>
          <w:rFonts w:hint="eastAsia" w:ascii="仿宋" w:hAnsi="仿宋" w:eastAsia="仿宋" w:cs="仿宋"/>
          <w:color w:val="000000" w:themeColor="text1"/>
          <w14:textFill>
            <w14:solidFill>
              <w14:schemeClr w14:val="tx1"/>
            </w14:solidFill>
          </w14:textFill>
        </w:rPr>
        <w:t>个，其中，医院</w:t>
      </w:r>
      <w:r>
        <w:rPr>
          <w:rFonts w:hint="eastAsia" w:ascii="仿宋" w:hAnsi="仿宋" w:eastAsia="仿宋" w:cs="仿宋"/>
          <w:color w:val="000000" w:themeColor="text1"/>
          <w:lang w:val="en-US" w:eastAsia="zh-CN"/>
          <w14:textFill>
            <w14:solidFill>
              <w14:schemeClr w14:val="tx1"/>
            </w14:solidFill>
          </w14:textFill>
        </w:rPr>
        <w:t>35</w:t>
      </w:r>
      <w:r>
        <w:rPr>
          <w:rFonts w:hint="eastAsia" w:ascii="仿宋" w:hAnsi="仿宋" w:eastAsia="仿宋" w:cs="仿宋"/>
          <w:color w:val="000000" w:themeColor="text1"/>
          <w14:textFill>
            <w14:solidFill>
              <w14:schemeClr w14:val="tx1"/>
            </w14:solidFill>
          </w14:textFill>
        </w:rPr>
        <w:t>个，乡镇卫生院</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个，社区卫生服务中心（站）</w:t>
      </w:r>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个。全区医疗机构卫生技术人员</w:t>
      </w:r>
      <w:r>
        <w:rPr>
          <w:rFonts w:hint="eastAsia" w:ascii="仿宋" w:hAnsi="仿宋" w:eastAsia="仿宋" w:cs="仿宋"/>
          <w:color w:val="000000" w:themeColor="text1"/>
          <w:lang w:val="en-US" w:eastAsia="zh-CN"/>
          <w14:textFill>
            <w14:solidFill>
              <w14:schemeClr w14:val="tx1"/>
            </w14:solidFill>
          </w14:textFill>
        </w:rPr>
        <w:t>19943</w:t>
      </w:r>
      <w:r>
        <w:rPr>
          <w:rFonts w:hint="eastAsia" w:ascii="仿宋" w:hAnsi="仿宋" w:eastAsia="仿宋" w:cs="仿宋"/>
          <w:color w:val="000000" w:themeColor="text1"/>
          <w14:textFill>
            <w14:solidFill>
              <w14:schemeClr w14:val="tx1"/>
            </w14:solidFill>
          </w14:textFill>
        </w:rPr>
        <w:t>人，其中，执业（助理）医师</w:t>
      </w:r>
      <w:r>
        <w:rPr>
          <w:rFonts w:hint="eastAsia" w:ascii="仿宋" w:hAnsi="仿宋" w:eastAsia="仿宋" w:cs="仿宋"/>
          <w:color w:val="000000" w:themeColor="text1"/>
          <w:lang w:val="en-US" w:eastAsia="zh-CN"/>
          <w14:textFill>
            <w14:solidFill>
              <w14:schemeClr w14:val="tx1"/>
            </w14:solidFill>
          </w14:textFill>
        </w:rPr>
        <w:t>7606</w:t>
      </w:r>
      <w:r>
        <w:rPr>
          <w:rFonts w:hint="eastAsia" w:ascii="仿宋" w:hAnsi="仿宋" w:eastAsia="仿宋" w:cs="仿宋"/>
          <w:color w:val="000000" w:themeColor="text1"/>
          <w14:textFill>
            <w14:solidFill>
              <w14:schemeClr w14:val="tx1"/>
            </w14:solidFill>
          </w14:textFill>
        </w:rPr>
        <w:t>人，执业医师</w:t>
      </w:r>
      <w:r>
        <w:rPr>
          <w:rFonts w:hint="eastAsia" w:ascii="仿宋" w:hAnsi="仿宋" w:eastAsia="仿宋" w:cs="仿宋"/>
          <w:color w:val="000000" w:themeColor="text1"/>
          <w:lang w:val="en-US" w:eastAsia="zh-CN"/>
          <w14:textFill>
            <w14:solidFill>
              <w14:schemeClr w14:val="tx1"/>
            </w14:solidFill>
          </w14:textFill>
        </w:rPr>
        <w:t>7546</w:t>
      </w:r>
      <w:r>
        <w:rPr>
          <w:rFonts w:hint="eastAsia" w:ascii="仿宋" w:hAnsi="仿宋" w:eastAsia="仿宋" w:cs="仿宋"/>
          <w:color w:val="000000" w:themeColor="text1"/>
          <w14:textFill>
            <w14:solidFill>
              <w14:schemeClr w14:val="tx1"/>
            </w14:solidFill>
          </w14:textFill>
        </w:rPr>
        <w:t>人</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注册护士</w:t>
      </w:r>
      <w:r>
        <w:rPr>
          <w:rFonts w:hint="eastAsia" w:ascii="仿宋" w:hAnsi="仿宋" w:eastAsia="仿宋" w:cs="仿宋"/>
          <w:color w:val="000000" w:themeColor="text1"/>
          <w:lang w:val="en-US" w:eastAsia="zh-CN"/>
          <w14:textFill>
            <w14:solidFill>
              <w14:schemeClr w14:val="tx1"/>
            </w14:solidFill>
          </w14:textFill>
        </w:rPr>
        <w:t>9651</w:t>
      </w:r>
      <w:r>
        <w:rPr>
          <w:rFonts w:hint="eastAsia" w:ascii="仿宋" w:hAnsi="仿宋" w:eastAsia="仿宋" w:cs="仿宋"/>
          <w:color w:val="000000" w:themeColor="text1"/>
          <w14:textFill>
            <w14:solidFill>
              <w14:schemeClr w14:val="tx1"/>
            </w14:solidFill>
          </w14:textFill>
        </w:rPr>
        <w:t>人</w:t>
      </w:r>
      <w:r>
        <w:rPr>
          <w:rFonts w:hint="eastAsia" w:ascii="仿宋" w:hAnsi="仿宋" w:eastAsia="仿宋" w:cs="仿宋"/>
          <w:color w:val="000000" w:themeColor="text1"/>
          <w:lang w:eastAsia="zh-CN"/>
          <w14:textFill>
            <w14:solidFill>
              <w14:schemeClr w14:val="tx1"/>
            </w14:solidFill>
          </w14:textFill>
        </w:rPr>
        <w:t>，药师</w:t>
      </w:r>
      <w:r>
        <w:rPr>
          <w:rFonts w:hint="eastAsia" w:ascii="仿宋" w:hAnsi="仿宋" w:eastAsia="仿宋" w:cs="仿宋"/>
          <w:color w:val="000000" w:themeColor="text1"/>
          <w:lang w:val="en-US" w:eastAsia="zh-CN"/>
          <w14:textFill>
            <w14:solidFill>
              <w14:schemeClr w14:val="tx1"/>
            </w14:solidFill>
          </w14:textFill>
        </w:rPr>
        <w:t>777人</w:t>
      </w:r>
      <w:r>
        <w:rPr>
          <w:rFonts w:hint="eastAsia" w:ascii="仿宋" w:hAnsi="仿宋" w:eastAsia="仿宋" w:cs="仿宋"/>
          <w:color w:val="000000" w:themeColor="text1"/>
          <w14:textFill>
            <w14:solidFill>
              <w14:schemeClr w14:val="tx1"/>
            </w14:solidFill>
          </w14:textFill>
        </w:rPr>
        <w:t>。</w:t>
      </w:r>
    </w:p>
    <w:p w14:paraId="3748BF65">
      <w:pPr>
        <w:pStyle w:val="2"/>
        <w:keepNext w:val="0"/>
        <w:keepLines w:val="0"/>
        <w:pageBreakBefore w:val="0"/>
        <w:widowControl w:val="0"/>
        <w:kinsoku/>
        <w:wordWrap/>
        <w:overflowPunct/>
        <w:topLinePunct w:val="0"/>
        <w:autoSpaceDE/>
        <w:autoSpaceDN/>
        <w:bidi w:val="0"/>
        <w:adjustRightInd/>
        <w:snapToGrid/>
        <w:spacing w:line="576" w:lineRule="exact"/>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九</w:t>
      </w:r>
      <w:r>
        <w:rPr>
          <w:rFonts w:hint="eastAsia"/>
          <w:b w:val="0"/>
          <w:bCs w:val="0"/>
          <w:color w:val="000000" w:themeColor="text1"/>
          <w14:textFill>
            <w14:solidFill>
              <w14:schemeClr w14:val="tx1"/>
            </w14:solidFill>
          </w14:textFill>
        </w:rPr>
        <w:t>、人口和人民生活</w:t>
      </w:r>
    </w:p>
    <w:p w14:paraId="38E42A2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rPr>
      </w:pPr>
      <w:r>
        <w:rPr>
          <w:rFonts w:hint="eastAsia" w:ascii="仿宋" w:hAnsi="仿宋" w:eastAsia="仿宋" w:cs="仿宋"/>
        </w:rPr>
        <w:t>20</w:t>
      </w:r>
      <w:r>
        <w:rPr>
          <w:rFonts w:hint="eastAsia" w:ascii="仿宋" w:hAnsi="仿宋" w:eastAsia="仿宋" w:cs="仿宋"/>
          <w:lang w:val="en-US" w:eastAsia="zh-CN"/>
        </w:rPr>
        <w:t>24</w:t>
      </w:r>
      <w:r>
        <w:rPr>
          <w:rFonts w:hint="eastAsia" w:ascii="仿宋" w:hAnsi="仿宋" w:eastAsia="仿宋" w:cs="仿宋"/>
        </w:rPr>
        <w:t>年末，全区户籍总人口为</w:t>
      </w:r>
      <w:r>
        <w:rPr>
          <w:rFonts w:hint="eastAsia" w:ascii="仿宋" w:hAnsi="仿宋" w:eastAsia="仿宋" w:cs="仿宋"/>
          <w:lang w:val="en-US" w:eastAsia="zh-CN"/>
        </w:rPr>
        <w:t>55.4</w:t>
      </w:r>
      <w:r>
        <w:rPr>
          <w:rFonts w:hint="eastAsia" w:ascii="仿宋" w:hAnsi="仿宋" w:eastAsia="仿宋" w:cs="仿宋"/>
        </w:rPr>
        <w:t>万人。其中男性</w:t>
      </w:r>
      <w:r>
        <w:rPr>
          <w:rFonts w:hint="eastAsia" w:ascii="仿宋" w:hAnsi="仿宋" w:eastAsia="仿宋" w:cs="仿宋"/>
          <w:lang w:val="en-US" w:eastAsia="zh-CN"/>
        </w:rPr>
        <w:t>26.6</w:t>
      </w:r>
      <w:r>
        <w:rPr>
          <w:rFonts w:hint="eastAsia" w:ascii="仿宋" w:hAnsi="仿宋" w:eastAsia="仿宋" w:cs="仿宋"/>
        </w:rPr>
        <w:t>万人，占总人口的48%；女性</w:t>
      </w:r>
      <w:r>
        <w:rPr>
          <w:rFonts w:hint="eastAsia" w:ascii="仿宋" w:hAnsi="仿宋" w:eastAsia="仿宋" w:cs="仿宋"/>
          <w:lang w:val="en-US" w:eastAsia="zh-CN"/>
        </w:rPr>
        <w:t>28.8</w:t>
      </w:r>
      <w:r>
        <w:rPr>
          <w:rFonts w:hint="eastAsia" w:ascii="仿宋" w:hAnsi="仿宋" w:eastAsia="仿宋" w:cs="仿宋"/>
        </w:rPr>
        <w:t>万人，占总人口的</w:t>
      </w:r>
      <w:r>
        <w:rPr>
          <w:rFonts w:hint="eastAsia" w:ascii="仿宋" w:hAnsi="仿宋" w:eastAsia="仿宋" w:cs="仿宋"/>
          <w:lang w:val="en-US" w:eastAsia="zh-CN"/>
        </w:rPr>
        <w:t>52</w:t>
      </w:r>
      <w:r>
        <w:rPr>
          <w:rFonts w:hint="eastAsia" w:ascii="仿宋" w:hAnsi="仿宋" w:eastAsia="仿宋" w:cs="仿宋"/>
        </w:rPr>
        <w:t>%；乡村人口</w:t>
      </w:r>
      <w:r>
        <w:rPr>
          <w:rFonts w:hint="eastAsia" w:ascii="仿宋" w:hAnsi="仿宋" w:eastAsia="仿宋" w:cs="仿宋"/>
          <w:lang w:val="en-US" w:eastAsia="zh-CN"/>
        </w:rPr>
        <w:t>4.5</w:t>
      </w:r>
      <w:r>
        <w:rPr>
          <w:rFonts w:hint="eastAsia" w:ascii="仿宋" w:hAnsi="仿宋" w:eastAsia="仿宋" w:cs="仿宋"/>
        </w:rPr>
        <w:t>万人，占总人口的</w:t>
      </w:r>
      <w:r>
        <w:rPr>
          <w:rFonts w:hint="eastAsia" w:ascii="仿宋" w:hAnsi="仿宋" w:eastAsia="仿宋" w:cs="仿宋"/>
          <w:lang w:val="en-US" w:eastAsia="zh-CN"/>
        </w:rPr>
        <w:t>8.1</w:t>
      </w:r>
      <w:r>
        <w:rPr>
          <w:rFonts w:hint="eastAsia" w:ascii="仿宋" w:hAnsi="仿宋" w:eastAsia="仿宋" w:cs="仿宋"/>
        </w:rPr>
        <w:t>%；城镇人口</w:t>
      </w:r>
      <w:r>
        <w:rPr>
          <w:rFonts w:hint="eastAsia" w:ascii="仿宋" w:hAnsi="仿宋" w:eastAsia="仿宋" w:cs="仿宋"/>
          <w:lang w:val="en-US" w:eastAsia="zh-CN"/>
        </w:rPr>
        <w:t>50.9</w:t>
      </w:r>
      <w:r>
        <w:rPr>
          <w:rFonts w:hint="eastAsia" w:ascii="仿宋" w:hAnsi="仿宋" w:eastAsia="仿宋" w:cs="仿宋"/>
        </w:rPr>
        <w:t>万人，占总人口的9</w:t>
      </w:r>
      <w:r>
        <w:rPr>
          <w:rFonts w:hint="eastAsia" w:ascii="仿宋" w:hAnsi="仿宋" w:eastAsia="仿宋" w:cs="仿宋"/>
          <w:lang w:val="en-US" w:eastAsia="zh-CN"/>
        </w:rPr>
        <w:t>1.9</w:t>
      </w:r>
      <w:r>
        <w:rPr>
          <w:rFonts w:hint="eastAsia" w:ascii="仿宋" w:hAnsi="仿宋" w:eastAsia="仿宋" w:cs="仿宋"/>
        </w:rPr>
        <w:t>%；全区出生人口</w:t>
      </w:r>
      <w:r>
        <w:rPr>
          <w:rFonts w:hint="eastAsia" w:ascii="仿宋" w:hAnsi="仿宋" w:eastAsia="仿宋" w:cs="仿宋"/>
          <w:lang w:val="en-US" w:eastAsia="zh-CN"/>
        </w:rPr>
        <w:t>1936</w:t>
      </w:r>
      <w:r>
        <w:rPr>
          <w:rFonts w:hint="eastAsia" w:ascii="仿宋" w:hAnsi="仿宋" w:eastAsia="仿宋" w:cs="仿宋"/>
        </w:rPr>
        <w:t>人，人口出生率</w:t>
      </w:r>
      <w:r>
        <w:rPr>
          <w:rFonts w:hint="eastAsia" w:ascii="仿宋" w:hAnsi="仿宋" w:eastAsia="仿宋" w:cs="仿宋"/>
          <w:lang w:val="en-US" w:eastAsia="zh-CN"/>
        </w:rPr>
        <w:t>3.5</w:t>
      </w:r>
      <w:r>
        <w:rPr>
          <w:rFonts w:hint="eastAsia" w:ascii="仿宋" w:hAnsi="仿宋" w:eastAsia="仿宋" w:cs="仿宋"/>
        </w:rPr>
        <w:t>‰，死亡人口</w:t>
      </w:r>
      <w:r>
        <w:rPr>
          <w:rFonts w:hint="eastAsia" w:ascii="仿宋" w:hAnsi="仿宋" w:eastAsia="仿宋" w:cs="仿宋"/>
          <w:lang w:val="en-US" w:eastAsia="zh-CN"/>
        </w:rPr>
        <w:t>4213</w:t>
      </w:r>
      <w:r>
        <w:rPr>
          <w:rFonts w:hint="eastAsia" w:ascii="仿宋" w:hAnsi="仿宋" w:eastAsia="仿宋" w:cs="仿宋"/>
        </w:rPr>
        <w:t>人，死亡率</w:t>
      </w:r>
      <w:r>
        <w:rPr>
          <w:rFonts w:hint="eastAsia" w:ascii="仿宋" w:hAnsi="仿宋" w:eastAsia="仿宋" w:cs="仿宋"/>
          <w:lang w:val="en-US" w:eastAsia="zh-CN"/>
        </w:rPr>
        <w:t>7.6</w:t>
      </w:r>
      <w:r>
        <w:rPr>
          <w:rFonts w:hint="eastAsia" w:ascii="仿宋" w:hAnsi="仿宋" w:eastAsia="仿宋" w:cs="仿宋"/>
        </w:rPr>
        <w:t>‰，自然增长率</w:t>
      </w:r>
      <w:r>
        <w:rPr>
          <w:rFonts w:hint="eastAsia" w:ascii="仿宋" w:hAnsi="仿宋" w:eastAsia="仿宋" w:cs="仿宋"/>
          <w:lang w:val="en-US" w:eastAsia="zh-CN"/>
        </w:rPr>
        <w:t>-4.1</w:t>
      </w:r>
      <w:r>
        <w:rPr>
          <w:rFonts w:hint="eastAsia" w:ascii="仿宋" w:hAnsi="仿宋" w:eastAsia="仿宋" w:cs="仿宋"/>
        </w:rPr>
        <w:t>‰。</w:t>
      </w:r>
    </w:p>
    <w:p w14:paraId="49CA132C">
      <w:pPr>
        <w:widowControl/>
        <w:shd w:val="clear" w:color="auto" w:fill="FFFFFF"/>
        <w:spacing w:line="480" w:lineRule="atLeast"/>
        <w:ind w:firstLine="0" w:firstLineChars="0"/>
        <w:rPr>
          <w:rFonts w:ascii="微软雅黑" w:eastAsia="微软雅黑" w:cs="宋体"/>
          <w:color w:val="000000"/>
          <w:kern w:val="0"/>
          <w:sz w:val="27"/>
          <w:szCs w:val="27"/>
        </w:rPr>
      </w:pPr>
      <w:r>
        <w:rPr>
          <w:rFonts w:hint="eastAsia" w:ascii="微软雅黑" w:eastAsia="微软雅黑" w:cs="宋体"/>
          <w:color w:val="000000"/>
          <w:kern w:val="0"/>
          <w:sz w:val="27"/>
          <w:szCs w:val="27"/>
        </w:rPr>
        <w:t>注：</w:t>
      </w:r>
    </w:p>
    <w:p w14:paraId="018B5AA4">
      <w:pPr>
        <w:widowControl/>
        <w:shd w:val="clear" w:color="auto" w:fill="FFFFFF"/>
        <w:spacing w:line="480" w:lineRule="atLeast"/>
        <w:ind w:firstLine="0" w:firstLineChars="0"/>
        <w:rPr>
          <w:rFonts w:ascii="微软雅黑" w:eastAsia="微软雅黑" w:cs="宋体"/>
          <w:color w:val="000000"/>
          <w:kern w:val="0"/>
          <w:sz w:val="27"/>
          <w:szCs w:val="27"/>
        </w:rPr>
      </w:pPr>
      <w:r>
        <w:rPr>
          <w:rFonts w:hint="eastAsia" w:ascii="微软雅黑" w:eastAsia="微软雅黑" w:cs="宋体"/>
          <w:color w:val="000000"/>
          <w:kern w:val="0"/>
          <w:sz w:val="27"/>
          <w:szCs w:val="27"/>
        </w:rPr>
        <w:t>　　1.本公报各项统计数据为初步统计数。</w:t>
      </w:r>
    </w:p>
    <w:p w14:paraId="6F30683C">
      <w:pPr>
        <w:widowControl/>
        <w:shd w:val="clear" w:color="auto" w:fill="FFFFFF"/>
        <w:spacing w:line="480" w:lineRule="atLeast"/>
        <w:ind w:firstLine="0" w:firstLineChars="0"/>
        <w:rPr>
          <w:rFonts w:ascii="微软雅黑" w:eastAsia="微软雅黑" w:cs="宋体"/>
          <w:color w:val="000000"/>
          <w:kern w:val="0"/>
          <w:sz w:val="27"/>
          <w:szCs w:val="27"/>
        </w:rPr>
      </w:pPr>
      <w:r>
        <w:rPr>
          <w:rFonts w:hint="eastAsia" w:ascii="微软雅黑" w:eastAsia="微软雅黑" w:cs="宋体"/>
          <w:color w:val="000000"/>
          <w:kern w:val="0"/>
          <w:sz w:val="27"/>
          <w:szCs w:val="27"/>
        </w:rPr>
        <w:t>　　2.本公报朝阳区生产总值、各产业增加值绝对数按现价计算，增长速度按可比价格计算。根据第</w:t>
      </w:r>
      <w:r>
        <w:rPr>
          <w:rFonts w:hint="eastAsia" w:ascii="微软雅黑" w:eastAsia="微软雅黑" w:cs="宋体"/>
          <w:color w:val="000000"/>
          <w:kern w:val="0"/>
          <w:sz w:val="27"/>
          <w:szCs w:val="27"/>
          <w:lang w:val="en-US" w:eastAsia="zh-CN"/>
        </w:rPr>
        <w:t>五</w:t>
      </w:r>
      <w:r>
        <w:rPr>
          <w:rFonts w:hint="eastAsia" w:ascii="微软雅黑" w:eastAsia="微软雅黑" w:cs="宋体"/>
          <w:color w:val="000000"/>
          <w:kern w:val="0"/>
          <w:sz w:val="27"/>
          <w:szCs w:val="27"/>
        </w:rPr>
        <w:t>次全国经济普查结果，市统计局对各城区地区生产总值、三次产业及相关产业增加值等相关指标的历史数据进行了修订。本公报中涉及20</w:t>
      </w:r>
      <w:r>
        <w:rPr>
          <w:rFonts w:hint="eastAsia" w:ascii="微软雅黑" w:eastAsia="微软雅黑" w:cs="宋体"/>
          <w:color w:val="000000"/>
          <w:kern w:val="0"/>
          <w:sz w:val="27"/>
          <w:szCs w:val="27"/>
          <w:lang w:val="en-US" w:eastAsia="zh-CN"/>
        </w:rPr>
        <w:t>24</w:t>
      </w:r>
      <w:r>
        <w:rPr>
          <w:rFonts w:hint="eastAsia" w:ascii="微软雅黑" w:eastAsia="微软雅黑" w:cs="宋体"/>
          <w:color w:val="000000"/>
          <w:kern w:val="0"/>
          <w:sz w:val="27"/>
          <w:szCs w:val="27"/>
        </w:rPr>
        <w:t>年地区生产总值、</w:t>
      </w:r>
      <w:bookmarkStart w:id="0" w:name="_GoBack"/>
      <w:bookmarkEnd w:id="0"/>
      <w:r>
        <w:rPr>
          <w:rFonts w:hint="eastAsia" w:ascii="微软雅黑" w:eastAsia="微软雅黑" w:cs="宋体"/>
          <w:color w:val="000000"/>
          <w:kern w:val="0"/>
          <w:sz w:val="27"/>
          <w:szCs w:val="27"/>
        </w:rPr>
        <w:t>三次产业及相关产业增加值和以地区生产总值为分母计算的强度指标均以市统计局反馈修订后的20</w:t>
      </w:r>
      <w:r>
        <w:rPr>
          <w:rFonts w:hint="eastAsia" w:ascii="微软雅黑" w:eastAsia="微软雅黑" w:cs="宋体"/>
          <w:color w:val="000000"/>
          <w:kern w:val="0"/>
          <w:sz w:val="27"/>
          <w:szCs w:val="27"/>
          <w:lang w:val="en-US" w:eastAsia="zh-CN"/>
        </w:rPr>
        <w:t>21</w:t>
      </w:r>
      <w:r>
        <w:rPr>
          <w:rFonts w:hint="eastAsia" w:ascii="微软雅黑" w:eastAsia="微软雅黑" w:cs="宋体"/>
          <w:color w:val="000000"/>
          <w:kern w:val="0"/>
          <w:sz w:val="27"/>
          <w:szCs w:val="27"/>
        </w:rPr>
        <w:t>年数据为基数。</w:t>
      </w:r>
    </w:p>
    <w:p w14:paraId="1B63C517">
      <w:pPr>
        <w:widowControl/>
        <w:shd w:val="clear" w:color="auto" w:fill="FFFFFF"/>
        <w:spacing w:line="480" w:lineRule="atLeast"/>
        <w:ind w:firstLine="0" w:firstLineChars="0"/>
        <w:rPr>
          <w:rFonts w:ascii="微软雅黑" w:eastAsia="微软雅黑" w:cs="宋体"/>
          <w:color w:val="000000"/>
          <w:kern w:val="0"/>
          <w:sz w:val="27"/>
          <w:szCs w:val="27"/>
        </w:rPr>
      </w:pPr>
      <w:r>
        <w:rPr>
          <w:rFonts w:hint="eastAsia" w:ascii="微软雅黑" w:eastAsia="微软雅黑" w:cs="宋体"/>
          <w:color w:val="000000"/>
          <w:kern w:val="0"/>
          <w:sz w:val="27"/>
          <w:szCs w:val="27"/>
        </w:rPr>
        <w:t>　　3.资料来源：本公报中财政数据来自区财政局；教育数据来自区教育局；卫生数据来自区卫生健康委；人口数据来自区公安分局；其他数据均来自区统计局。</w:t>
      </w:r>
    </w:p>
    <w:p w14:paraId="4D83736D"/>
    <w:sectPr>
      <w:head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1"/>
    <w:family w:val="auto"/>
    <w:pitch w:val="default"/>
    <w:sig w:usb0="00000000" w:usb1="00000000" w:usb2="00000000" w:usb3="00000000" w:csb0="00000000" w:csb1="00000000"/>
  </w:font>
  <w:font w:name="Calibri">
    <w:panose1 w:val="020F0502020204030204"/>
    <w:charset w:val="01"/>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2DD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OGExY2ZkNmVmYzJlZGYyZGU2ZjIxODAyYjE4NWQ4MTgifQ=="/>
  </w:docVars>
  <w:rsids>
    <w:rsidRoot w:val="00000000"/>
    <w:rsid w:val="010D7DD7"/>
    <w:rsid w:val="031511C4"/>
    <w:rsid w:val="057E5747"/>
    <w:rsid w:val="0A56459C"/>
    <w:rsid w:val="0EC71F0D"/>
    <w:rsid w:val="13857CA0"/>
    <w:rsid w:val="16AE750E"/>
    <w:rsid w:val="1AA7356D"/>
    <w:rsid w:val="1F15160B"/>
    <w:rsid w:val="2E123E74"/>
    <w:rsid w:val="31F45867"/>
    <w:rsid w:val="39225E0E"/>
    <w:rsid w:val="41F81F43"/>
    <w:rsid w:val="45085EB8"/>
    <w:rsid w:val="5BE34B31"/>
    <w:rsid w:val="65D05612"/>
    <w:rsid w:val="67023B6F"/>
    <w:rsid w:val="6C53360D"/>
    <w:rsid w:val="6F7C2E7B"/>
    <w:rsid w:val="71A7799C"/>
    <w:rsid w:val="72A526E9"/>
    <w:rsid w:val="77CF5E2E"/>
    <w:rsid w:val="7D5D6B3A"/>
    <w:rsid w:val="7F7724CE"/>
    <w:rsid w:val="7FEC19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_GB2312" w:cs="Arial"/>
      <w:kern w:val="2"/>
      <w:sz w:val="32"/>
      <w:szCs w:val="22"/>
      <w:lang w:val="en-US" w:eastAsia="zh-CN" w:bidi="ar-SA"/>
    </w:rPr>
  </w:style>
  <w:style w:type="paragraph" w:styleId="2">
    <w:name w:val="heading 1"/>
    <w:basedOn w:val="1"/>
    <w:next w:val="1"/>
    <w:qFormat/>
    <w:uiPriority w:val="0"/>
    <w:pPr>
      <w:keepNext/>
      <w:keepLines/>
      <w:widowControl w:val="0"/>
      <w:spacing w:line="360" w:lineRule="auto"/>
      <w:outlineLvl w:val="0"/>
    </w:pPr>
    <w:rPr>
      <w:rFonts w:eastAsia="黑体"/>
      <w:b/>
      <w:bCs/>
      <w:kern w:val="44"/>
      <w:szCs w:val="44"/>
    </w:rPr>
  </w:style>
  <w:style w:type="paragraph" w:styleId="3">
    <w:name w:val="heading 2"/>
    <w:basedOn w:val="1"/>
    <w:next w:val="1"/>
    <w:qFormat/>
    <w:uiPriority w:val="0"/>
    <w:pPr>
      <w:keepNext/>
      <w:keepLines/>
      <w:widowControl w:val="0"/>
      <w:spacing w:line="360" w:lineRule="auto"/>
      <w:outlineLvl w:val="1"/>
    </w:pPr>
    <w:rPr>
      <w:rFonts w:ascii="Calibri Light" w:hAnsi="Calibri Light" w:eastAsia="楷体_GB2312" w:cs="Times New Roman"/>
      <w:b/>
      <w:bCs/>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0"/>
    <w:pPr>
      <w:spacing w:before="240" w:after="60"/>
      <w:jc w:val="center"/>
      <w:outlineLvl w:val="0"/>
    </w:pPr>
    <w:rPr>
      <w:rFonts w:ascii="Calibri Light" w:hAnsi="Calibri Light" w:eastAsia="黑体" w:cs="Times New Roman"/>
      <w:b/>
      <w:bCs/>
      <w:sz w:val="44"/>
      <w:szCs w:val="32"/>
    </w:rPr>
  </w:style>
  <w:style w:type="paragraph" w:styleId="12">
    <w:name w:val="List Paragraph"/>
    <w:basedOn w:val="1"/>
    <w:qFormat/>
    <w:uiPriority w:val="0"/>
  </w:style>
  <w:style w:type="paragraph" w:styleId="13">
    <w:name w:val="No Spacing"/>
    <w:qFormat/>
    <w:uiPriority w:val="0"/>
    <w:pPr>
      <w:widowControl w:val="0"/>
      <w:ind w:firstLine="200" w:firstLineChars="200"/>
      <w:jc w:val="both"/>
    </w:pPr>
    <w:rPr>
      <w:rFonts w:ascii="Calibri" w:hAnsi="Calibri" w:eastAsia="仿宋_GB2312" w:cs="Arial"/>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sz="1400" b="0" i="0" u="none" strike="noStrike" baseline="0">
                <a:solidFill>
                  <a:srgbClr val="595959"/>
                </a:solidFill>
                <a:latin typeface="Calibri" panose="020F0502020204030204"/>
                <a:ea typeface="宋体" panose="02010600030101010101" charset="-122"/>
                <a:cs typeface="Lucida Sans"/>
              </a:rPr>
              <a:t>三次产业占GDP比重</a:t>
            </a:r>
            <a:endParaRPr lang="zh-CN" sz="1400" b="0" i="0" u="none" strike="noStrike" baseline="0">
              <a:solidFill>
                <a:srgbClr val="595959"/>
              </a:solidFill>
              <a:latin typeface="Calibri" panose="020F0502020204030204"/>
              <a:ea typeface="宋体" panose="02010600030101010101" charset="-122"/>
              <a:cs typeface="Lucida Sans"/>
            </a:endParaRPr>
          </a:p>
        </c:rich>
      </c:tx>
      <c:layout/>
      <c:overlay val="0"/>
      <c:spPr>
        <a:noFill/>
        <a:ln>
          <a:noFill/>
        </a:ln>
      </c:spPr>
    </c:title>
    <c:autoTitleDeleted val="0"/>
    <c:plotArea>
      <c:layout/>
      <c:barChart>
        <c:barDir val="bar"/>
        <c:grouping val="clustered"/>
        <c:varyColors val="0"/>
        <c:ser>
          <c:idx val="0"/>
          <c:order val="0"/>
          <c:spPr>
            <a:solidFill>
              <a:srgbClr val="5B9BD5"/>
            </a:solidFill>
            <a:ln w="19050">
              <a:solidFill>
                <a:srgbClr val="FFFFFF"/>
              </a:solidFill>
              <a:prstDash val="solid"/>
            </a:ln>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a:t>0.</a:t>
                    </a:r>
                    <a:r>
                      <a:rPr lang="en-US" altLang="zh-CN"/>
                      <a:t>1</a:t>
                    </a:r>
                    <a:r>
                      <a:rPr lang="zh-CN"/>
                      <a:t>%</a:t>
                    </a:r>
                    <a:endParaRPr lang="zh-CN"/>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2</a:t>
                    </a:r>
                    <a:r>
                      <a:rPr lang="en-US" altLang="zh-CN" sz="900" b="0" i="0" u="none" strike="noStrike" baseline="0">
                        <a:solidFill>
                          <a:srgbClr val="404040"/>
                        </a:solidFill>
                        <a:latin typeface="Times New Roman" panose="02020603050405020304"/>
                        <a:ea typeface="宋体" panose="02010600030101010101" charset="-122"/>
                        <a:cs typeface="Lucida Sans"/>
                      </a:rPr>
                      <a:t>6.7</a:t>
                    </a:r>
                    <a:r>
                      <a:rPr lang="zh-CN" sz="900" b="0" i="0" u="none" strike="noStrike" baseline="0">
                        <a:solidFill>
                          <a:srgbClr val="404040"/>
                        </a:solidFill>
                        <a:latin typeface="Times New Roman" panose="02020603050405020304"/>
                        <a:ea typeface="宋体" panose="02010600030101010101" charset="-122"/>
                        <a:cs typeface="Lucida Sans"/>
                      </a:rPr>
                      <a:t>%</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018059234"/>
                  <c:y val="0"/>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zh-CN" sz="900" b="0" i="0" u="none" strike="noStrike" baseline="0">
                        <a:solidFill>
                          <a:srgbClr val="404040"/>
                        </a:solidFill>
                        <a:latin typeface="Times New Roman" panose="02020603050405020304"/>
                        <a:ea typeface="宋体" panose="02010600030101010101" charset="-122"/>
                        <a:cs typeface="Lucida Sans"/>
                      </a:rPr>
                      <a:t>7</a:t>
                    </a:r>
                    <a:r>
                      <a:rPr lang="en-US" altLang="zh-CN" sz="900" b="0" i="0" u="none" strike="noStrike" baseline="0">
                        <a:solidFill>
                          <a:srgbClr val="404040"/>
                        </a:solidFill>
                        <a:latin typeface="Times New Roman" panose="02020603050405020304"/>
                        <a:ea typeface="宋体" panose="02010600030101010101" charset="-122"/>
                        <a:cs typeface="Lucida Sans"/>
                      </a:rPr>
                      <a:t>3.1</a:t>
                    </a:r>
                    <a:r>
                      <a:rPr lang="zh-CN" sz="900" b="0" i="0" u="none" strike="noStrike" baseline="0">
                        <a:solidFill>
                          <a:srgbClr val="404040"/>
                        </a:solidFill>
                        <a:latin typeface="Times New Roman" panose="02020603050405020304"/>
                        <a:ea typeface="宋体" panose="02010600030101010101" charset="-122"/>
                        <a:cs typeface="Lucida Sans"/>
                      </a:rPr>
                      <a:t>%</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{"第一产业","第二产业","第三产业"}</c:f>
              <c:strCache>
                <c:ptCount val="3"/>
                <c:pt idx="0">
                  <c:v>第一产业</c:v>
                </c:pt>
                <c:pt idx="1">
                  <c:v>第二产业</c:v>
                </c:pt>
                <c:pt idx="2">
                  <c:v>第三产业</c:v>
                </c:pt>
              </c:strCache>
            </c:strRef>
          </c:cat>
          <c:val>
            <c:numRef>
              <c:f>{0.00155541881393739,0.293748634720406,0.704695946465656}</c:f>
              <c:numCache>
                <c:formatCode>0.00%</c:formatCode>
                <c:ptCount val="3"/>
                <c:pt idx="0">
                  <c:v>0.00155541881393739</c:v>
                </c:pt>
                <c:pt idx="1">
                  <c:v>0.293748634720406</c:v>
                </c:pt>
                <c:pt idx="2">
                  <c:v>0.704695946465656</c:v>
                </c:pt>
              </c:numCache>
            </c:numRef>
          </c:val>
        </c:ser>
        <c:dLbls>
          <c:showLegendKey val="0"/>
          <c:showVal val="1"/>
          <c:showCatName val="0"/>
          <c:showSerName val="0"/>
          <c:showPercent val="0"/>
          <c:showBubbleSize val="0"/>
        </c:dLbls>
        <c:gapWidth val="150"/>
        <c:axId val="0"/>
        <c:axId val="1"/>
      </c:barChart>
      <c:catAx>
        <c:axId val="0"/>
        <c:scaling>
          <c:orientation val="minMax"/>
        </c:scaling>
        <c:delete val="0"/>
        <c:axPos val="l"/>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b"/>
        <c:majorGridlines>
          <c:spPr>
            <a:ln w="6350" cap="flat" cmpd="sng" algn="ctr">
              <a:solidFill>
                <a:srgbClr val="D9D9D9"/>
              </a:solidFill>
              <a:prstDash val="solid"/>
              <a:round/>
            </a:ln>
          </c:spPr>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extLst>
      <c:ext uri="{0b15fc19-7d7d-44ad-8c2d-2c3a37ce22c3}">
        <chartProps xmlns="https://web.wps.cn/et/2018/main" chartId="{243be5cf-2e8f-408e-a54a-79573cd3e7df}"/>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529626"/>
          <c:y val="0.06452318"/>
          <c:w val="0.8718555"/>
          <c:h val="0.7470254"/>
        </c:manualLayout>
      </c:layout>
      <c:barChart>
        <c:barDir val="col"/>
        <c:grouping val="clustered"/>
        <c:varyColors val="0"/>
        <c:ser>
          <c:idx val="0"/>
          <c:order val="0"/>
          <c:tx>
            <c:strRef>
              <c:f>Sheet1!$B$1</c:f>
              <c:strCache>
                <c:ptCount val="1"/>
                <c:pt idx="0">
                  <c:v>2024年完成总产值（亿元）</c:v>
                </c:pt>
              </c:strCache>
            </c:strRef>
          </c:tx>
          <c:spPr>
            <a:solidFill>
              <a:srgbClr val="5B9BD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一季度</c:v>
                </c:pt>
                <c:pt idx="1">
                  <c:v>二季度</c:v>
                </c:pt>
                <c:pt idx="2">
                  <c:v>三季度</c:v>
                </c:pt>
                <c:pt idx="3">
                  <c:v>四季度</c:v>
                </c:pt>
              </c:strCache>
            </c:strRef>
          </c:cat>
          <c:val>
            <c:numRef>
              <c:f>Sheet1!$B$2:$B$5</c:f>
              <c:numCache>
                <c:formatCode>General</c:formatCode>
                <c:ptCount val="4"/>
                <c:pt idx="0">
                  <c:v>7.1</c:v>
                </c:pt>
                <c:pt idx="1">
                  <c:v>27.3</c:v>
                </c:pt>
                <c:pt idx="2">
                  <c:v>58.4</c:v>
                </c:pt>
                <c:pt idx="3">
                  <c:v>103.8</c:v>
                </c:pt>
              </c:numCache>
            </c:numRef>
          </c:val>
        </c:ser>
        <c:dLbls>
          <c:showLegendKey val="0"/>
          <c:showVal val="1"/>
          <c:showCatName val="0"/>
          <c:showSerName val="0"/>
          <c:showPercent val="0"/>
          <c:showBubbleSize val="0"/>
        </c:dLbls>
        <c:gapWidth val="219"/>
        <c:overlap val="-27"/>
        <c:axId val="0"/>
        <c:axId val="1"/>
      </c:barChart>
      <c:lineChart>
        <c:grouping val="standard"/>
        <c:varyColors val="0"/>
        <c:ser>
          <c:idx val="2"/>
          <c:order val="1"/>
          <c:tx>
            <c:strRef>
              <c:f>Sheet1!$C$1</c:f>
              <c:strCache>
                <c:ptCount val="1"/>
                <c:pt idx="0">
                  <c:v>  同比（%）</c:v>
                </c:pt>
              </c:strCache>
            </c:strRef>
          </c:tx>
          <c:spPr>
            <a:ln w="25400" cap="rnd" cmpd="sng" algn="ctr">
              <a:solidFill>
                <a:srgbClr val="FF0000"/>
              </a:solidFill>
              <a:prstDash val="solid"/>
              <a:round/>
            </a:ln>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一季度</c:v>
                </c:pt>
                <c:pt idx="1">
                  <c:v>二季度</c:v>
                </c:pt>
                <c:pt idx="2">
                  <c:v>三季度</c:v>
                </c:pt>
                <c:pt idx="3">
                  <c:v>四季度</c:v>
                </c:pt>
              </c:strCache>
            </c:strRef>
          </c:cat>
          <c:val>
            <c:numRef>
              <c:f>Sheet1!$C$2:$C$5</c:f>
              <c:numCache>
                <c:formatCode>General</c:formatCode>
                <c:ptCount val="4"/>
                <c:pt idx="0">
                  <c:v>2.9</c:v>
                </c:pt>
                <c:pt idx="1">
                  <c:v>1.9</c:v>
                </c:pt>
                <c:pt idx="2">
                  <c:v>10.5</c:v>
                </c:pt>
                <c:pt idx="3">
                  <c:v>10.2</c:v>
                </c:pt>
              </c:numCache>
            </c:numRef>
          </c:val>
          <c:smooth val="0"/>
        </c:ser>
        <c:dLbls>
          <c:showLegendKey val="0"/>
          <c:showVal val="1"/>
          <c:showCatName val="0"/>
          <c:showSerName val="0"/>
          <c:showPercent val="0"/>
          <c:showBubbleSize val="0"/>
        </c:dLbls>
        <c:marker val="0"/>
        <c:smooth val="0"/>
        <c:axId val="2"/>
        <c:axId val="3"/>
      </c:line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catAx>
        <c:axId val="2"/>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3"/>
        <c:crosses val="autoZero"/>
        <c:auto val="1"/>
        <c:lblAlgn val="ctr"/>
        <c:lblOffset val="100"/>
        <c:noMultiLvlLbl val="0"/>
      </c:catAx>
      <c:valAx>
        <c:axId val="3"/>
        <c:scaling>
          <c:orientation val="minMax"/>
        </c:scaling>
        <c:delete val="0"/>
        <c:axPos val="r"/>
        <c:numFmt formatCode="General" sourceLinked="1"/>
        <c:majorTickMark val="out"/>
        <c:minorTickMark val="none"/>
        <c:tickLblPos val="nextTo"/>
        <c:spPr>
          <a:ln w="9525" cap="flat" cmpd="sng" algn="ctr">
            <a:noFill/>
            <a:prstDash val="solid"/>
            <a:round/>
          </a:ln>
        </c:spPr>
        <c:txPr>
          <a:bodyPr rot="-6000000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a:defRPr>
            </a:pPr>
          </a:p>
        </c:txPr>
        <c:crossAx val="2"/>
        <c:crosses val="max"/>
        <c:crossBetween val="between"/>
      </c:valAx>
      <c:spPr>
        <a:noFill/>
        <a:ln>
          <a:noFill/>
        </a:ln>
      </c:spPr>
    </c:plotArea>
    <c:legend>
      <c:legendPos val="b"/>
      <c:layout>
        <c:manualLayout>
          <c:xMode val="edge"/>
          <c:yMode val="edge"/>
          <c:x val="0.23001808"/>
          <c:y val="0.8810063"/>
          <c:w val="0.5951778"/>
          <c:h val="0.084528305"/>
        </c:manualLayout>
      </c:layout>
      <c:overlay val="0"/>
      <c:spPr>
        <a:noFill/>
        <a:ln>
          <a:noFill/>
        </a:ln>
      </c:spPr>
      <c:txPr>
        <a:bodyPr rot="0" spcFirstLastPara="0" vertOverflow="ellipsis" vert="horz" wrap="square" anchor="ctr" anchorCtr="1"/>
        <a:lstStyle/>
        <a:p>
          <a:pPr>
            <a:defRPr lang="zh-CN" sz="900" b="1"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639d1b78-c227-4549-b039-b8f54c80c94f}"/>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b="0"/>
              <a:t>1-12</a:t>
            </a:r>
            <a:r>
              <a:rPr altLang="en-US" b="0"/>
              <a:t>月份固定资产投资完成情况</a:t>
            </a:r>
            <a:endParaRPr altLang="en-US" b="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总量（亿元）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全区投资</c:v>
                </c:pt>
                <c:pt idx="1">
                  <c:v>500万元以上项目</c:v>
                </c:pt>
                <c:pt idx="2">
                  <c:v>房地产项目</c:v>
                </c:pt>
              </c:strCache>
            </c:strRef>
          </c:cat>
          <c:val>
            <c:numRef>
              <c:f>Sheet1!$B$2:$B$4</c:f>
              <c:numCache>
                <c:formatCode>General</c:formatCode>
                <c:ptCount val="3"/>
                <c:pt idx="0">
                  <c:v>139.8</c:v>
                </c:pt>
                <c:pt idx="1">
                  <c:v>102.1</c:v>
                </c:pt>
                <c:pt idx="2">
                  <c:v>37.7</c:v>
                </c:pt>
              </c:numCache>
            </c:numRef>
          </c:val>
        </c:ser>
        <c:dLbls>
          <c:showLegendKey val="0"/>
          <c:showVal val="1"/>
          <c:showCatName val="0"/>
          <c:showSerName val="0"/>
          <c:showPercent val="0"/>
          <c:showBubbleSize val="0"/>
        </c:dLbls>
        <c:gapWidth val="219"/>
        <c:overlap val="-27"/>
        <c:axId val="387903541"/>
        <c:axId val="469751643"/>
      </c:barChart>
      <c:lineChart>
        <c:grouping val="standard"/>
        <c:varyColors val="0"/>
        <c:ser>
          <c:idx val="2"/>
          <c:order val="1"/>
          <c:tx>
            <c:strRef>
              <c:f>Sheet1!$C$1</c:f>
              <c:strCache>
                <c:ptCount val="1"/>
                <c:pt idx="0">
                  <c:v>同比增速（%）</c:v>
                </c:pt>
              </c:strCache>
            </c:strRef>
          </c:tx>
          <c:spPr>
            <a:ln w="28575" cap="rnd">
              <a:solidFill>
                <a:schemeClr val="accent6"/>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全区投资</c:v>
                </c:pt>
                <c:pt idx="1">
                  <c:v>500万元以上项目</c:v>
                </c:pt>
                <c:pt idx="2">
                  <c:v>房地产项目</c:v>
                </c:pt>
              </c:strCache>
            </c:strRef>
          </c:cat>
          <c:val>
            <c:numRef>
              <c:f>Sheet1!$C$2:$C$4</c:f>
              <c:numCache>
                <c:formatCode>General</c:formatCode>
                <c:ptCount val="3"/>
                <c:pt idx="0">
                  <c:v>2.3</c:v>
                </c:pt>
                <c:pt idx="1">
                  <c:v>-0.6</c:v>
                </c:pt>
                <c:pt idx="2">
                  <c:v>11.3</c:v>
                </c:pt>
              </c:numCache>
            </c:numRef>
          </c:val>
          <c:smooth val="0"/>
        </c:ser>
        <c:dLbls>
          <c:showLegendKey val="0"/>
          <c:showVal val="1"/>
          <c:showCatName val="0"/>
          <c:showSerName val="0"/>
          <c:showPercent val="0"/>
          <c:showBubbleSize val="0"/>
        </c:dLbls>
        <c:marker val="0"/>
        <c:smooth val="0"/>
        <c:axId val="932911649"/>
        <c:axId val="46437928"/>
      </c:lineChart>
      <c:catAx>
        <c:axId val="3879035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751643"/>
        <c:crosses val="autoZero"/>
        <c:auto val="1"/>
        <c:lblAlgn val="ctr"/>
        <c:lblOffset val="100"/>
        <c:noMultiLvlLbl val="0"/>
      </c:catAx>
      <c:valAx>
        <c:axId val="469751643"/>
        <c:scaling>
          <c:orientation val="minMax"/>
        </c:scaling>
        <c:delete val="0"/>
        <c:axPos val="l"/>
        <c:majorGridlines>
          <c:spPr>
            <a:ln w="9525" cap="flat" cmpd="sng" algn="ctr">
              <a:solidFill>
                <a:schemeClr val="lt1">
                  <a:lumMod val="90200"/>
                </a:schemeClr>
              </a:solidFill>
              <a:round/>
            </a:ln>
            <a:effectLst/>
          </c:spPr>
        </c:majorGridlines>
        <c:minorGridlines>
          <c:spPr>
            <a:ln w="9525" cap="flat" cmpd="sng" algn="ctr">
              <a:solidFill>
                <a:schemeClr val="bg1"/>
              </a:solidFill>
              <a:round/>
            </a:ln>
            <a:effectLst/>
          </c:spPr>
        </c:minorGridlines>
        <c:numFmt formatCode="General" sourceLinked="0"/>
        <c:majorTickMark val="cross"/>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903541"/>
        <c:crosses val="autoZero"/>
        <c:crossBetween val="between"/>
      </c:valAx>
      <c:catAx>
        <c:axId val="93291164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37928"/>
        <c:crosses val="autoZero"/>
        <c:auto val="1"/>
        <c:lblAlgn val="ctr"/>
        <c:lblOffset val="100"/>
        <c:noMultiLvlLbl val="0"/>
      </c:catAx>
      <c:valAx>
        <c:axId val="46437928"/>
        <c:scaling>
          <c:orientation val="minMax"/>
        </c:scaling>
        <c:delete val="0"/>
        <c:axPos val="r"/>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2911649"/>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43c264-f435-4a50-92ec-34f859fe97e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sz="1400" b="0" i="0" u="none" strike="noStrike" baseline="0">
                <a:solidFill>
                  <a:srgbClr val="595959"/>
                </a:solidFill>
                <a:latin typeface="Times New Roman" panose="02020603050405020304"/>
                <a:ea typeface="宋体" panose="02010600030101010101" charset="-122"/>
                <a:cs typeface="Lucida Sans"/>
              </a:rPr>
              <a:t>1-12月限额以上社零额总量、增速分布</a:t>
            </a:r>
            <a:endParaRPr lang="zh-CN" sz="1400" b="0" i="0" u="none" strike="noStrike" baseline="0">
              <a:solidFill>
                <a:srgbClr val="595959"/>
              </a:solidFill>
              <a:latin typeface="Times New Roman" panose="02020603050405020304"/>
              <a:ea typeface="宋体" panose="02010600030101010101" charset="-122"/>
              <a:cs typeface="Lucida Sans"/>
            </a:endParaRPr>
          </a:p>
        </c:rich>
      </c:tx>
      <c:layout/>
      <c:overlay val="0"/>
      <c:spPr>
        <a:noFill/>
        <a:ln>
          <a:noFill/>
        </a:ln>
      </c:spPr>
    </c:title>
    <c:autoTitleDeleted val="0"/>
    <c:plotArea>
      <c:layout>
        <c:manualLayout>
          <c:layoutTarget val="inner"/>
          <c:xMode val="edge"/>
          <c:yMode val="edge"/>
          <c:x val="0.059799757"/>
          <c:y val="0.13030404"/>
          <c:w val="0.87362546"/>
          <c:h val="0.7594387"/>
        </c:manualLayout>
      </c:layout>
      <c:barChart>
        <c:barDir val="col"/>
        <c:grouping val="clustered"/>
        <c:varyColors val="0"/>
        <c:ser>
          <c:idx val="0"/>
          <c:order val="0"/>
          <c:tx>
            <c:strRef>
              <c:f>'Sheet1 (2)'!$B$1</c:f>
              <c:strCache>
                <c:ptCount val="1"/>
                <c:pt idx="0">
                  <c:v>总量(亿元)</c:v>
                </c:pt>
              </c:strCache>
            </c:strRef>
          </c:tx>
          <c:spPr>
            <a:solidFill>
              <a:srgbClr val="5B9BD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(2)'!$A$2:$A$12</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'Sheet1 (2)'!$B$2:$B$12</c:f>
              <c:numCache>
                <c:formatCode>General</c:formatCode>
                <c:ptCount val="11"/>
                <c:pt idx="0">
                  <c:v>33.1</c:v>
                </c:pt>
                <c:pt idx="1">
                  <c:v>53.2</c:v>
                </c:pt>
                <c:pt idx="2">
                  <c:v>69.6</c:v>
                </c:pt>
                <c:pt idx="3">
                  <c:v>88.2</c:v>
                </c:pt>
                <c:pt idx="4">
                  <c:v>116.4</c:v>
                </c:pt>
                <c:pt idx="5">
                  <c:v>133.5</c:v>
                </c:pt>
                <c:pt idx="6">
                  <c:v>150.7</c:v>
                </c:pt>
                <c:pt idx="7">
                  <c:v>169.1</c:v>
                </c:pt>
                <c:pt idx="8">
                  <c:v>185.8</c:v>
                </c:pt>
                <c:pt idx="9">
                  <c:v>200.6</c:v>
                </c:pt>
                <c:pt idx="10" c:formatCode="0.0_ ">
                  <c:v>218</c:v>
                </c:pt>
              </c:numCache>
            </c:numRef>
          </c:val>
        </c:ser>
        <c:dLbls>
          <c:showLegendKey val="0"/>
          <c:showVal val="1"/>
          <c:showCatName val="0"/>
          <c:showSerName val="0"/>
          <c:showPercent val="0"/>
          <c:showBubbleSize val="0"/>
        </c:dLbls>
        <c:gapWidth val="219"/>
        <c:overlap val="-27"/>
        <c:axId val="0"/>
        <c:axId val="1"/>
      </c:barChart>
      <c:lineChart>
        <c:grouping val="standard"/>
        <c:varyColors val="0"/>
        <c:ser>
          <c:idx val="1"/>
          <c:order val="1"/>
          <c:tx>
            <c:strRef>
              <c:f>'Sheet1 (2)'!$C$1</c:f>
              <c:strCache>
                <c:ptCount val="1"/>
                <c:pt idx="0">
                  <c:v>增速（%）</c:v>
                </c:pt>
              </c:strCache>
            </c:strRef>
          </c:tx>
          <c:spPr>
            <a:ln w="25400" cap="rnd" cmpd="sng" algn="ctr">
              <a:solidFill>
                <a:srgbClr val="ED7D31"/>
              </a:solidFill>
              <a:prstDash val="solid"/>
              <a:round/>
            </a:ln>
          </c:spPr>
          <c:marker>
            <c:symbol val="circle"/>
            <c:size val="5"/>
            <c:spPr>
              <a:solidFill>
                <a:srgbClr val="ED7D31"/>
              </a:solidFill>
              <a:ln w="9525" cap="flat" cmpd="sng" algn="ctr">
                <a:solidFill>
                  <a:srgbClr val="ED7D31"/>
                </a:solidFill>
                <a:prstDash val="solid"/>
                <a:round/>
              </a:ln>
            </c:spPr>
          </c:marker>
          <c:dLbls>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r"/>
              <c:showLegendKey val="0"/>
              <c:showVal val="1"/>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r"/>
              <c:showLegendKey val="0"/>
              <c:showVal val="1"/>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r"/>
              <c:showLegendKey val="0"/>
              <c:showVal val="1"/>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r"/>
              <c:showLegendKey val="0"/>
              <c:showVal val="1"/>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r"/>
              <c:showLegendKey val="0"/>
              <c:showVal val="1"/>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r"/>
              <c:showLegendKey val="0"/>
              <c:showVal val="1"/>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r"/>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(2)'!$A$2:$A$12</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'Sheet1 (2)'!$C$2:$C$12</c:f>
              <c:numCache>
                <c:formatCode>General</c:formatCode>
                <c:ptCount val="11"/>
                <c:pt idx="0">
                  <c:v>-5.1</c:v>
                </c:pt>
                <c:pt idx="1">
                  <c:v>1.1</c:v>
                </c:pt>
                <c:pt idx="2">
                  <c:v>1.5</c:v>
                </c:pt>
                <c:pt idx="3">
                  <c:v>2.7</c:v>
                </c:pt>
                <c:pt idx="4">
                  <c:v>4.4</c:v>
                </c:pt>
                <c:pt idx="5" c:formatCode="0.0_ ">
                  <c:v>1.3</c:v>
                </c:pt>
                <c:pt idx="6">
                  <c:v>2.8</c:v>
                </c:pt>
                <c:pt idx="7">
                  <c:v>1.6</c:v>
                </c:pt>
                <c:pt idx="8" c:formatCode="0.0_ ">
                  <c:v>1.4</c:v>
                </c:pt>
                <c:pt idx="9">
                  <c:v>1.6</c:v>
                </c:pt>
                <c:pt idx="10" c:formatCode="0.0_ ">
                  <c:v>1.9</c:v>
                </c:pt>
              </c:numCache>
            </c:numRef>
          </c:val>
          <c:smooth val="0"/>
        </c:ser>
        <c:dLbls>
          <c:showLegendKey val="0"/>
          <c:showVal val="1"/>
          <c:showCatName val="0"/>
          <c:showSerName val="0"/>
          <c:showPercent val="0"/>
          <c:showBubbleSize val="0"/>
        </c:dLbls>
        <c:marker val="1"/>
        <c:smooth val="0"/>
        <c:axId val="2"/>
        <c:axId val="3"/>
      </c:lineChart>
      <c:catAx>
        <c:axId val="0"/>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r"/>
        <c:numFmt formatCode="General" sourceLinked="1"/>
        <c:majorTickMark val="out"/>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 val="max"/>
        <c:crossBetween val="between"/>
      </c:valAx>
      <c:dateAx>
        <c:axId val="2"/>
        <c:scaling>
          <c:orientation val="minMax"/>
        </c:scaling>
        <c:delete val="0"/>
        <c:axPos val="b"/>
        <c:numFmt formatCode="General" sourceLinked="1"/>
        <c:majorTickMark val="none"/>
        <c:minorTickMark val="none"/>
        <c:tickLblPos val="low"/>
        <c:spPr>
          <a:ln w="6350" cap="flat" cmpd="sng" algn="ctr">
            <a:solidFill>
              <a:srgbClr val="D9D9D9"/>
            </a:solidFill>
            <a:prstDash val="solid"/>
            <a:round/>
          </a:ln>
        </c:spPr>
        <c:txPr>
          <a:bodyPr rot="-60000000" spcFirstLastPara="0" vertOverflow="ellipsis" vert="horz" wrap="square" anchor="ctr" anchorCtr="1" forceAA="0"/>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3"/>
        <c:crosses val="autoZero"/>
        <c:auto val="0"/>
        <c:lblAlgn val="ctr"/>
        <c:lblOffset val="100"/>
        <c:baseTimeUnit val="days"/>
      </c:dateAx>
      <c:valAx>
        <c:axId val="3"/>
        <c:scaling>
          <c:orientation val="minMax"/>
        </c:scaling>
        <c:delete val="0"/>
        <c:axPos val="r"/>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2"/>
        <c:crosses val="max"/>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e63d04ab-1dc4-487e-b492-477e2b8515bd}"/>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9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D3434A1-8F96-454B-B55B-16BA1F7DEC85}">
  <ds:schemaRefs/>
</ds:datastoreItem>
</file>

<file path=docProps/app.xml><?xml version="1.0" encoding="utf-8"?>
<Properties xmlns="http://schemas.openxmlformats.org/officeDocument/2006/extended-properties" xmlns:vt="http://schemas.openxmlformats.org/officeDocument/2006/docPropsVTypes">
  <Template>Normal.eit</Template>
  <Pages>9</Pages>
  <Words>2625</Words>
  <Characters>3232</Characters>
  <Lines>198</Lines>
  <Paragraphs>97</Paragraphs>
  <TotalTime>0</TotalTime>
  <ScaleCrop>false</ScaleCrop>
  <LinksUpToDate>false</LinksUpToDate>
  <CharactersWithSpaces>3708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2020-06-18T03:01:00Z</dcterms:created>
  <dc:creator>jhuser</dc:creator>
  <cp:lastModifiedBy>微信用户</cp:lastModifiedBy>
  <cp:lastPrinted>2020-03-06T06:26:00Z</cp:lastPrinted>
  <dcterms:modified xsi:type="dcterms:W3CDTF">2025-07-16T06:13:13Z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98A070B3AB404B2292E27FA671B0BCFE_13</vt:lpwstr>
  </property>
  <property fmtid="{D5CDD505-2E9C-101B-9397-08002B2CF9AE}" pid="4" name="KSOTemplateDocerSaveRecord">
    <vt:lpwstr>eyJoZGlkIjoiMzBiNTViYjc2Yzg5YmVmNWRjYmRmNGM3ZTMxMWNiMTEiLCJ1c2VySWQiOiIxMzQ1OTQ3MDA1In0=</vt:lpwstr>
  </property>
</Properties>
</file>