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70DC34">
      <w:pPr>
        <w:pStyle w:val="9"/>
        <w:keepNext w:val="0"/>
        <w:keepLines w:val="0"/>
        <w:pageBreakBefore w:val="0"/>
        <w:widowControl w:val="0"/>
        <w:kinsoku/>
        <w:wordWrap/>
        <w:overflowPunct/>
        <w:topLinePunct w:val="0"/>
        <w:autoSpaceDE/>
        <w:autoSpaceDN/>
        <w:bidi w:val="0"/>
        <w:adjustRightInd/>
        <w:snapToGrid/>
        <w:spacing w:line="640" w:lineRule="exact"/>
        <w:ind w:firstLine="0" w:firstLineChars="0"/>
        <w:textAlignment w:val="auto"/>
        <w:rPr>
          <w:rFonts w:hint="eastAsia" w:ascii="方正小标宋简体" w:hAnsi="方正小标宋简体" w:eastAsia="方正小标宋简体" w:cs="方正小标宋简体"/>
          <w:sz w:val="44"/>
          <w:szCs w:val="44"/>
        </w:rPr>
      </w:pPr>
    </w:p>
    <w:p w14:paraId="1CF0129D">
      <w:pPr>
        <w:pStyle w:val="9"/>
        <w:keepNext w:val="0"/>
        <w:keepLines w:val="0"/>
        <w:pageBreakBefore w:val="0"/>
        <w:widowControl w:val="0"/>
        <w:kinsoku/>
        <w:wordWrap/>
        <w:overflowPunct/>
        <w:topLinePunct w:val="0"/>
        <w:autoSpaceDE/>
        <w:autoSpaceDN/>
        <w:bidi w:val="0"/>
        <w:adjustRightInd/>
        <w:snapToGrid/>
        <w:ind w:firstLine="1084" w:firstLineChars="300"/>
        <w:jc w:val="both"/>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w:t>
      </w:r>
      <w:r>
        <w:rPr>
          <w:rFonts w:hint="eastAsia" w:ascii="方正小标宋简体" w:hAnsi="方正小标宋简体" w:eastAsia="方正小标宋简体" w:cs="方正小标宋简体"/>
          <w:sz w:val="36"/>
          <w:szCs w:val="36"/>
          <w:lang w:val="en-US" w:eastAsia="zh-CN"/>
        </w:rPr>
        <w:t>23</w:t>
      </w:r>
      <w:r>
        <w:rPr>
          <w:rFonts w:hint="eastAsia" w:ascii="方正小标宋简体" w:hAnsi="方正小标宋简体" w:eastAsia="方正小标宋简体" w:cs="方正小标宋简体"/>
          <w:sz w:val="36"/>
          <w:szCs w:val="36"/>
        </w:rPr>
        <w:t>年朝阳区国民经济和社会发展统计公报</w:t>
      </w:r>
    </w:p>
    <w:p w14:paraId="5EE2090C">
      <w:pPr>
        <w:keepNext w:val="0"/>
        <w:keepLines w:val="0"/>
        <w:pageBreakBefore w:val="0"/>
        <w:widowControl w:val="0"/>
        <w:kinsoku/>
        <w:wordWrap/>
        <w:overflowPunct/>
        <w:topLinePunct w:val="0"/>
        <w:autoSpaceDE/>
        <w:autoSpaceDN/>
        <w:bidi w:val="0"/>
        <w:adjustRightInd/>
        <w:snapToGrid/>
        <w:spacing w:line="640" w:lineRule="exact"/>
        <w:textAlignment w:val="auto"/>
      </w:pPr>
    </w:p>
    <w:p w14:paraId="520A0F83">
      <w:pPr>
        <w:keepNext w:val="0"/>
        <w:keepLines w:val="0"/>
        <w:pageBreakBefore w:val="0"/>
        <w:widowControl/>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 w:eastAsia="仿宋" w:cs="仿宋"/>
          <w:lang w:val="en-US"/>
        </w:rPr>
      </w:pPr>
      <w:r>
        <w:rPr>
          <w:rFonts w:hint="eastAsia" w:ascii="仿宋" w:eastAsia="仿宋" w:cs="仿宋"/>
          <w:sz w:val="32"/>
          <w:szCs w:val="32"/>
          <w:lang w:val="en-US" w:eastAsia="zh-CN"/>
        </w:rPr>
        <w:t>2023年，</w:t>
      </w:r>
      <w:r>
        <w:rPr>
          <w:rFonts w:hint="eastAsia" w:ascii="仿宋" w:hAnsi="仿宋" w:eastAsia="仿宋" w:cs="仿宋"/>
          <w:sz w:val="32"/>
          <w:szCs w:val="32"/>
          <w:lang w:val="en-US" w:eastAsia="zh-CN"/>
        </w:rPr>
        <w:t>朝阳区分局坚持把思想和行动统一到习近平总书记关于统计工作的重要指示精神上来，将精神成果转化为推动统计工作高质量发展的具体举措，向上坚持省、市局的坚强领导，向下组织协调基层统计队伍，以上带下，上下联动，整体发力。以实干实效推动主题教育，强化统计监测预警、深化经济分析研判，第五次全国经济普查等各项工作任务上取得了实实在在的成效。</w:t>
      </w:r>
    </w:p>
    <w:p w14:paraId="549D493B">
      <w:pPr>
        <w:pStyle w:val="2"/>
        <w:keepNext w:val="0"/>
        <w:keepLines w:val="0"/>
        <w:pageBreakBefore w:val="0"/>
        <w:widowControl w:val="0"/>
        <w:kinsoku/>
        <w:wordWrap/>
        <w:overflowPunct/>
        <w:topLinePunct w:val="0"/>
        <w:autoSpaceDE/>
        <w:autoSpaceDN/>
        <w:bidi w:val="0"/>
        <w:adjustRightInd/>
        <w:snapToGrid/>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一、综合</w:t>
      </w:r>
    </w:p>
    <w:p w14:paraId="79D84D75">
      <w:pPr>
        <w:keepNext w:val="0"/>
        <w:keepLines w:val="0"/>
        <w:pageBreakBefore w:val="0"/>
        <w:widowControl/>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 w:eastAsia="仿宋" w:cs="仿宋"/>
          <w:sz w:val="32"/>
          <w:szCs w:val="32"/>
          <w:lang w:val="en-US" w:eastAsia="zh-CN"/>
        </w:rPr>
      </w:pPr>
      <w:r>
        <w:rPr>
          <w:rFonts w:hint="eastAsia" w:ascii="仿宋" w:eastAsia="仿宋" w:cs="仿宋"/>
          <w:sz w:val="32"/>
          <w:szCs w:val="32"/>
          <w:lang w:val="en-US" w:eastAsia="zh-CN"/>
        </w:rPr>
        <w:t>朝阳区分局围绕以稳住经济大盘为主线，以统计服务专项行动为载体，客观反映朝阳区经济发展成果。2023年，全区生产总值835.8亿元，按不变价计算，同比增长6.6%。其中，第一产业增加值实现1.4亿元，同比增长17.6%；第二产业增加值实现222.9亿元，同比下降0.1%；第三产业增加值实现611.5亿元，同比增长9.3%。</w:t>
      </w:r>
    </w:p>
    <w:p w14:paraId="7C6B121C">
      <w:pPr>
        <w:keepNext w:val="0"/>
        <w:keepLines w:val="0"/>
        <w:pageBreakBefore w:val="0"/>
        <w:widowControl w:val="0"/>
        <w:kinsoku/>
        <w:wordWrap/>
        <w:overflowPunct/>
        <w:topLinePunct w:val="0"/>
        <w:autoSpaceDE/>
        <w:autoSpaceDN/>
        <w:bidi w:val="0"/>
        <w:adjustRightInd/>
        <w:snapToGrid/>
      </w:pPr>
      <w:r>
        <w:drawing>
          <wp:inline distT="0" distB="0" distL="0" distR="0">
            <wp:extent cx="4293870" cy="1894205"/>
            <wp:effectExtent l="4445" t="4445" r="6985" b="6350"/>
            <wp:docPr id="1"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966F080">
      <w:pPr>
        <w:keepNext w:val="0"/>
        <w:keepLines w:val="0"/>
        <w:pageBreakBefore w:val="0"/>
        <w:widowControl/>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 w:eastAsia="仿宋" w:cs="仿宋"/>
          <w:sz w:val="32"/>
          <w:szCs w:val="32"/>
          <w:lang w:val="en-US" w:eastAsia="zh-CN"/>
        </w:rPr>
      </w:pPr>
      <w:r>
        <w:rPr>
          <w:rFonts w:hint="eastAsia" w:ascii="仿宋" w:eastAsia="仿宋" w:cs="仿宋"/>
          <w:sz w:val="32"/>
          <w:szCs w:val="32"/>
          <w:lang w:val="en-US" w:eastAsia="zh-CN"/>
        </w:rPr>
        <w:t>产业结构得到进一步优化，三大产业比重分别为：0.2:26.7:73.1。</w:t>
      </w:r>
    </w:p>
    <w:p w14:paraId="1D70464E">
      <w:pPr>
        <w:pStyle w:val="2"/>
        <w:rPr>
          <w:b w:val="0"/>
          <w:bCs w:val="0"/>
        </w:rPr>
      </w:pPr>
      <w:r>
        <w:rPr>
          <w:rFonts w:hint="eastAsia"/>
          <w:b w:val="0"/>
          <w:bCs w:val="0"/>
        </w:rPr>
        <w:t>二、农业</w:t>
      </w:r>
    </w:p>
    <w:p w14:paraId="4FA11296">
      <w:pPr>
        <w:keepNext w:val="0"/>
        <w:keepLines w:val="0"/>
        <w:pageBreakBefore w:val="0"/>
        <w:widowControl/>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 w:eastAsia="仿宋" w:cs="仿宋"/>
          <w:sz w:val="32"/>
          <w:szCs w:val="32"/>
          <w:lang w:val="en-US" w:eastAsia="zh-CN"/>
        </w:rPr>
      </w:pPr>
      <w:r>
        <w:rPr>
          <w:rFonts w:hint="eastAsia" w:ascii="仿宋" w:eastAsia="仿宋" w:cs="仿宋"/>
          <w:sz w:val="32"/>
          <w:szCs w:val="32"/>
          <w:lang w:val="en-US" w:eastAsia="zh-CN"/>
        </w:rPr>
        <w:t>2023年全区农作物播种面积9815.8公顷，其中粮食作物播种面积9336.6公顷，经济作物播种面积479.1公顷，分别占总播种面积的95.1%和4.9%。粮食作物总产量62833.3吨，经济作物总产量12229.8吨。</w:t>
      </w:r>
    </w:p>
    <w:p w14:paraId="5A26F204">
      <w:pPr>
        <w:keepNext w:val="0"/>
        <w:keepLines w:val="0"/>
        <w:pageBreakBefore w:val="0"/>
        <w:widowControl/>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 w:eastAsia="仿宋" w:cs="仿宋"/>
          <w:sz w:val="32"/>
          <w:szCs w:val="32"/>
          <w:lang w:val="en-US" w:eastAsia="zh-CN"/>
        </w:rPr>
      </w:pPr>
      <w:r>
        <w:rPr>
          <w:rFonts w:hint="eastAsia" w:ascii="仿宋" w:eastAsia="仿宋" w:cs="仿宋"/>
          <w:sz w:val="32"/>
          <w:szCs w:val="32"/>
          <w:lang w:val="en-US" w:eastAsia="zh-CN"/>
        </w:rPr>
        <w:t>2023年末，猪存栏3624头，同比下降12.8%，出栏3050头，同比下降20.1%；牛存栏2163头，同比增长10.1%，出栏1047头，同比增长92.11%；羊存栏530只，同比下降19.7%，出栏616只，同比增长12.2%；家禽存栏26.2千只，同比下降15.5%，出栏17.7千只，同比下降28.8%。</w:t>
      </w:r>
    </w:p>
    <w:p w14:paraId="595E7D1C">
      <w:pPr>
        <w:keepNext w:val="0"/>
        <w:keepLines w:val="0"/>
        <w:pageBreakBefore w:val="0"/>
        <w:widowControl/>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 w:eastAsia="仿宋" w:cs="仿宋"/>
          <w:sz w:val="32"/>
          <w:szCs w:val="32"/>
          <w:lang w:val="en-US" w:eastAsia="zh-CN"/>
        </w:rPr>
      </w:pPr>
      <w:r>
        <w:rPr>
          <w:rFonts w:hint="eastAsia" w:ascii="仿宋" w:eastAsia="仿宋" w:cs="仿宋"/>
          <w:sz w:val="32"/>
          <w:szCs w:val="32"/>
          <w:lang w:val="en-US" w:eastAsia="zh-CN"/>
        </w:rPr>
        <w:t>肉类总产量448.1吨，同比下降17.3%。其中，猪肉产量274.5吨，同比下降30.7%；牛肉产量124.5吨，同比增长51.2%；羊肉产量13吨，同比下降9.65%；禽肉产量36.1吨，同比下降25.7%。禽蛋产量154.4吨，同比增长9.4%。生牛奶产量569.1吨，同比增长18.6%。</w:t>
      </w:r>
    </w:p>
    <w:p w14:paraId="2EA868BE">
      <w:pPr>
        <w:pStyle w:val="2"/>
        <w:rPr>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三、工业</w:t>
      </w:r>
    </w:p>
    <w:p w14:paraId="7BA13D65">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eastAsia="仿宋" w:cs="仿宋"/>
          <w:color w:val="000000" w:themeColor="text1"/>
          <w:lang w:val="en-US" w:eastAsia="zh-CN"/>
          <w14:textFill>
            <w14:solidFill>
              <w14:schemeClr w14:val="tx1"/>
            </w14:solidFill>
          </w14:textFill>
        </w:rPr>
      </w:pPr>
      <w:r>
        <w:rPr>
          <w:rFonts w:hint="eastAsia" w:ascii="仿宋" w:eastAsia="仿宋" w:cs="仿宋"/>
          <w:color w:val="000000" w:themeColor="text1"/>
          <w:lang w:val="en-US" w:eastAsia="zh-CN"/>
          <w14:textFill>
            <w14:solidFill>
              <w14:schemeClr w14:val="tx1"/>
            </w14:solidFill>
          </w14:textFill>
        </w:rPr>
        <w:t>2023年工业经济运行面临的内外部环境依然复杂严峻，主要发达经济体增长下行压力明显，外需市场持续低迷。在朝阳区委、区政府的坚强领导下，坚持稳中求进的总基调，完整、准确、全面贯彻新发展理念，主动服务和融入新发展格局，全区工业经济保持韧性，承压前行。</w:t>
      </w:r>
    </w:p>
    <w:p w14:paraId="066FBE94">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eastAsia="仿宋" w:cs="仿宋"/>
          <w:color w:val="000000" w:themeColor="text1"/>
          <w:highlight w:val="none"/>
          <w:lang w:val="en-US" w:eastAsia="zh-CN"/>
          <w14:textFill>
            <w14:solidFill>
              <w14:schemeClr w14:val="tx1"/>
            </w14:solidFill>
          </w14:textFill>
        </w:rPr>
      </w:pPr>
      <w:r>
        <w:rPr>
          <w:rFonts w:hint="eastAsia" w:ascii="仿宋" w:eastAsia="仿宋" w:cs="仿宋"/>
          <w:color w:val="000000" w:themeColor="text1"/>
          <w:lang w:val="en-US" w:eastAsia="zh-CN"/>
          <w14:textFill>
            <w14:solidFill>
              <w14:schemeClr w14:val="tx1"/>
            </w14:solidFill>
          </w14:textFill>
        </w:rPr>
        <w:t>2023年1-12月，朝阳区实现规模以上工业总产值730.7亿元，同比增长0.2%。增速比上年回落5个百分点，规模以上工业产值总量领跑五城区。</w:t>
      </w:r>
      <w:r>
        <w:rPr>
          <w:rFonts w:hint="eastAsia" w:ascii="仿宋" w:eastAsia="仿宋" w:cs="仿宋"/>
          <w:color w:val="000000" w:themeColor="text1"/>
          <w:highlight w:val="none"/>
          <w:lang w:val="en-US" w:eastAsia="zh-CN"/>
          <w14:textFill>
            <w14:solidFill>
              <w14:schemeClr w14:val="tx1"/>
            </w14:solidFill>
          </w14:textFill>
        </w:rPr>
        <w:t>分产业看，能源产业总产值540.2亿元，与上年同期持平；汽车制造业总产值171.5亿元，比上年同期增长0.7%。</w:t>
      </w:r>
    </w:p>
    <w:p w14:paraId="33D695BB">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eastAsia="仿宋" w:cs="仿宋"/>
          <w:color w:val="000000" w:themeColor="text1"/>
          <w:highlight w:val="none"/>
          <w:lang w:val="en-US" w:eastAsia="zh-CN"/>
          <w14:textFill>
            <w14:solidFill>
              <w14:schemeClr w14:val="tx1"/>
            </w14:solidFill>
          </w14:textFill>
        </w:rPr>
      </w:pPr>
      <w:r>
        <w:rPr>
          <w:rFonts w:hint="eastAsia" w:ascii="仿宋" w:eastAsia="仿宋" w:cs="仿宋"/>
          <w:color w:val="000000" w:themeColor="text1"/>
          <w:highlight w:val="none"/>
          <w:lang w:val="en-US" w:eastAsia="zh-CN"/>
          <w14:textFill>
            <w14:solidFill>
              <w14:schemeClr w14:val="tx1"/>
            </w14:solidFill>
          </w14:textFill>
        </w:rPr>
        <w:t>从行业分类看，朝阳区规模以上工业分布在12个行业中，其中7个行业产值正增长，4个行业产值负增长，电力、热力生产和供应业产值与2022年持平。</w:t>
      </w:r>
    </w:p>
    <w:p w14:paraId="6D9E7AB5">
      <w:pPr>
        <w:tabs>
          <w:tab w:val="left" w:pos="497"/>
        </w:tabs>
        <w:jc w:val="center"/>
        <w:rPr>
          <w:rFonts w:hint="eastAsia" w:ascii="仿宋" w:eastAsia="仿宋" w:cs="仿宋"/>
          <w:b w:val="0"/>
          <w:bCs w:val="0"/>
          <w:color w:val="000000" w:themeColor="text1"/>
          <w:sz w:val="30"/>
          <w:szCs w:val="30"/>
          <w:highlight w:val="none"/>
          <w:lang w:val="en-US" w:eastAsia="zh-CN"/>
          <w14:textFill>
            <w14:solidFill>
              <w14:schemeClr w14:val="tx1"/>
            </w14:solidFill>
          </w14:textFill>
        </w:rPr>
      </w:pPr>
      <w:r>
        <w:rPr>
          <w:rFonts w:hint="eastAsia" w:ascii="宋体" w:eastAsia="宋体" w:cs="宋体"/>
          <w:b/>
          <w:bCs/>
          <w:color w:val="000000" w:themeColor="text1"/>
          <w:sz w:val="28"/>
          <w:szCs w:val="28"/>
          <w:highlight w:val="none"/>
          <w:lang w:val="en-US" w:eastAsia="zh-CN"/>
          <w14:textFill>
            <w14:solidFill>
              <w14:schemeClr w14:val="tx1"/>
            </w14:solidFill>
          </w14:textFill>
        </w:rPr>
        <w:t>2023年1-12月朝阳区规模以上工业产值各行业完成情况</w:t>
      </w:r>
    </w:p>
    <w:tbl>
      <w:tblPr>
        <w:tblStyle w:val="10"/>
        <w:tblW w:w="84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3555"/>
      </w:tblGrid>
      <w:tr w14:paraId="0BC86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99" w:type="dxa"/>
            <w:tcBorders>
              <w:left w:val="nil"/>
            </w:tcBorders>
            <w:vAlign w:val="center"/>
          </w:tcPr>
          <w:p w14:paraId="67BFC45B">
            <w:pPr>
              <w:tabs>
                <w:tab w:val="left" w:pos="497"/>
              </w:tabs>
              <w:spacing w:line="360" w:lineRule="auto"/>
              <w:jc w:val="center"/>
              <w:rPr>
                <w:rFonts w:hint="eastAsia" w:ascii="宋体" w:eastAsia="宋体" w:cs="宋体"/>
                <w:b/>
                <w:bCs/>
                <w:color w:val="000000" w:themeColor="text1"/>
                <w:sz w:val="24"/>
                <w:szCs w:val="24"/>
                <w:highlight w:val="none"/>
                <w:vertAlign w:val="baseline"/>
                <w:lang w:val="en-US" w:eastAsia="zh-CN"/>
                <w14:textFill>
                  <w14:solidFill>
                    <w14:schemeClr w14:val="tx1"/>
                  </w14:solidFill>
                </w14:textFill>
              </w:rPr>
            </w:pPr>
            <w:r>
              <w:rPr>
                <w:rFonts w:hint="eastAsia" w:ascii="宋体" w:eastAsia="宋体" w:cs="宋体"/>
                <w:b/>
                <w:bCs/>
                <w:color w:val="000000" w:themeColor="text1"/>
                <w:sz w:val="24"/>
                <w:szCs w:val="24"/>
                <w:highlight w:val="none"/>
                <w:vertAlign w:val="baseline"/>
                <w:lang w:val="en-US" w:eastAsia="zh-CN"/>
                <w14:textFill>
                  <w14:solidFill>
                    <w14:schemeClr w14:val="tx1"/>
                  </w14:solidFill>
                </w14:textFill>
              </w:rPr>
              <w:t>行 业 名 称</w:t>
            </w:r>
          </w:p>
        </w:tc>
        <w:tc>
          <w:tcPr>
            <w:tcW w:w="3555" w:type="dxa"/>
            <w:tcBorders>
              <w:right w:val="nil"/>
            </w:tcBorders>
            <w:vAlign w:val="center"/>
          </w:tcPr>
          <w:p w14:paraId="76A0B2BE">
            <w:pPr>
              <w:tabs>
                <w:tab w:val="left" w:pos="497"/>
              </w:tabs>
              <w:spacing w:line="360" w:lineRule="auto"/>
              <w:jc w:val="center"/>
              <w:rPr>
                <w:rFonts w:hint="eastAsia" w:ascii="宋体" w:eastAsia="宋体" w:cs="宋体"/>
                <w:b/>
                <w:bCs/>
                <w:color w:val="000000" w:themeColor="text1"/>
                <w:sz w:val="24"/>
                <w:szCs w:val="24"/>
                <w:highlight w:val="none"/>
                <w:vertAlign w:val="baseline"/>
                <w:lang w:val="en-US" w:eastAsia="zh-CN"/>
                <w14:textFill>
                  <w14:solidFill>
                    <w14:schemeClr w14:val="tx1"/>
                  </w14:solidFill>
                </w14:textFill>
              </w:rPr>
            </w:pPr>
            <w:r>
              <w:rPr>
                <w:rFonts w:hint="eastAsia" w:ascii="宋体" w:eastAsia="宋体" w:cs="宋体"/>
                <w:b/>
                <w:bCs/>
                <w:color w:val="000000" w:themeColor="text1"/>
                <w:sz w:val="24"/>
                <w:szCs w:val="24"/>
                <w:highlight w:val="none"/>
                <w:vertAlign w:val="baseline"/>
                <w:lang w:val="en-US" w:eastAsia="zh-CN"/>
                <w14:textFill>
                  <w14:solidFill>
                    <w14:schemeClr w14:val="tx1"/>
                  </w14:solidFill>
                </w14:textFill>
              </w:rPr>
              <w:t>同 比 增 速（%）</w:t>
            </w:r>
          </w:p>
        </w:tc>
      </w:tr>
      <w:tr w14:paraId="3A660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99" w:type="dxa"/>
            <w:tcBorders>
              <w:left w:val="nil"/>
            </w:tcBorders>
          </w:tcPr>
          <w:p w14:paraId="31508255">
            <w:pPr>
              <w:tabs>
                <w:tab w:val="left" w:pos="497"/>
              </w:tabs>
              <w:spacing w:line="360" w:lineRule="auto"/>
              <w:jc w:val="both"/>
              <w:rPr>
                <w:rFonts w:hint="eastAsia" w:asci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eastAsia="仿宋" w:cs="仿宋"/>
                <w:b/>
                <w:bCs/>
                <w:color w:val="000000" w:themeColor="text1"/>
                <w:sz w:val="24"/>
                <w:szCs w:val="24"/>
                <w:highlight w:val="none"/>
                <w:vertAlign w:val="baseline"/>
                <w:lang w:val="en-US" w:eastAsia="zh-CN"/>
                <w14:textFill>
                  <w14:solidFill>
                    <w14:schemeClr w14:val="tx1"/>
                  </w14:solidFill>
                </w14:textFill>
              </w:rPr>
              <w:t>全区总计</w:t>
            </w:r>
          </w:p>
        </w:tc>
        <w:tc>
          <w:tcPr>
            <w:tcW w:w="3555" w:type="dxa"/>
            <w:tcBorders>
              <w:right w:val="nil"/>
            </w:tcBorders>
          </w:tcPr>
          <w:p w14:paraId="4B855E70">
            <w:pPr>
              <w:tabs>
                <w:tab w:val="left" w:pos="497"/>
              </w:tabs>
              <w:spacing w:line="360" w:lineRule="auto"/>
              <w:jc w:val="right"/>
              <w:rPr>
                <w:rFonts w:hint="default" w:ascii="仿宋" w:eastAsia="仿宋" w:cs="仿宋"/>
                <w:b/>
                <w:bCs/>
                <w:color w:val="000000" w:themeColor="text1"/>
                <w:sz w:val="24"/>
                <w:szCs w:val="24"/>
                <w:highlight w:val="none"/>
                <w:vertAlign w:val="baseline"/>
                <w:lang w:val="en-US" w:eastAsia="zh-CN"/>
                <w14:textFill>
                  <w14:solidFill>
                    <w14:schemeClr w14:val="tx1"/>
                  </w14:solidFill>
                </w14:textFill>
              </w:rPr>
            </w:pPr>
            <w:r>
              <w:rPr>
                <w:rFonts w:hint="eastAsia" w:ascii="仿宋" w:eastAsia="仿宋" w:cs="仿宋"/>
                <w:b/>
                <w:bCs/>
                <w:color w:val="000000" w:themeColor="text1"/>
                <w:sz w:val="24"/>
                <w:szCs w:val="24"/>
                <w:highlight w:val="none"/>
                <w:vertAlign w:val="baseline"/>
                <w:lang w:val="en-US" w:eastAsia="zh-CN"/>
                <w14:textFill>
                  <w14:solidFill>
                    <w14:schemeClr w14:val="tx1"/>
                  </w14:solidFill>
                </w14:textFill>
              </w:rPr>
              <w:t>0.2</w:t>
            </w:r>
          </w:p>
        </w:tc>
      </w:tr>
      <w:tr w14:paraId="4AA42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99" w:type="dxa"/>
            <w:tcBorders>
              <w:left w:val="nil"/>
            </w:tcBorders>
          </w:tcPr>
          <w:p w14:paraId="0679B38C">
            <w:pPr>
              <w:tabs>
                <w:tab w:val="left" w:pos="497"/>
              </w:tabs>
              <w:spacing w:line="360" w:lineRule="auto"/>
              <w:ind w:left="0" w:firstLine="240" w:firstLineChars="100"/>
              <w:jc w:val="both"/>
              <w:rPr>
                <w:rFonts w:hint="eastAsia" w:asci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eastAsia="仿宋" w:cs="仿宋"/>
                <w:b w:val="0"/>
                <w:bCs w:val="0"/>
                <w:color w:val="000000" w:themeColor="text1"/>
                <w:kern w:val="2"/>
                <w:sz w:val="24"/>
                <w:szCs w:val="24"/>
                <w:highlight w:val="none"/>
                <w:vertAlign w:val="baseline"/>
                <w:lang w:val="en-US" w:eastAsia="zh-CN" w:bidi="ar-SA"/>
                <w14:textFill>
                  <w14:solidFill>
                    <w14:schemeClr w14:val="tx1"/>
                  </w14:solidFill>
                </w14:textFill>
              </w:rPr>
              <w:t>金属制品业</w:t>
            </w:r>
          </w:p>
        </w:tc>
        <w:tc>
          <w:tcPr>
            <w:tcW w:w="3555" w:type="dxa"/>
            <w:tcBorders>
              <w:right w:val="nil"/>
            </w:tcBorders>
          </w:tcPr>
          <w:p w14:paraId="523F8CC6">
            <w:pPr>
              <w:tabs>
                <w:tab w:val="left" w:pos="497"/>
              </w:tabs>
              <w:spacing w:line="360" w:lineRule="auto"/>
              <w:ind w:left="0" w:firstLine="0" w:firstLineChars="0"/>
              <w:jc w:val="right"/>
              <w:rPr>
                <w:rFonts w:hint="default" w:asci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eastAsia="仿宋" w:cs="仿宋"/>
                <w:b w:val="0"/>
                <w:bCs w:val="0"/>
                <w:color w:val="000000" w:themeColor="text1"/>
                <w:sz w:val="24"/>
                <w:szCs w:val="24"/>
                <w:highlight w:val="none"/>
                <w:vertAlign w:val="baseline"/>
                <w:lang w:val="en-US" w:eastAsia="zh-CN"/>
                <w14:textFill>
                  <w14:solidFill>
                    <w14:schemeClr w14:val="tx1"/>
                  </w14:solidFill>
                </w14:textFill>
              </w:rPr>
              <w:t>29.4</w:t>
            </w:r>
          </w:p>
        </w:tc>
      </w:tr>
      <w:tr w14:paraId="4CC98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99" w:type="dxa"/>
            <w:tcBorders>
              <w:left w:val="nil"/>
            </w:tcBorders>
          </w:tcPr>
          <w:p w14:paraId="430D84E6">
            <w:pPr>
              <w:tabs>
                <w:tab w:val="left" w:pos="497"/>
              </w:tabs>
              <w:spacing w:line="360" w:lineRule="auto"/>
              <w:ind w:left="0" w:firstLine="240" w:firstLineChars="100"/>
              <w:jc w:val="both"/>
              <w:rPr>
                <w:rFonts w:hint="eastAsia" w:ascii="仿宋" w:eastAsia="仿宋" w:cs="仿宋"/>
                <w:b w:val="0"/>
                <w:b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eastAsia="仿宋" w:cs="仿宋"/>
                <w:b w:val="0"/>
                <w:bCs w:val="0"/>
                <w:color w:val="000000" w:themeColor="text1"/>
                <w:sz w:val="24"/>
                <w:szCs w:val="24"/>
                <w:highlight w:val="none"/>
                <w:vertAlign w:val="baseline"/>
                <w:lang w:val="en-US" w:eastAsia="zh-CN"/>
                <w14:textFill>
                  <w14:solidFill>
                    <w14:schemeClr w14:val="tx1"/>
                  </w14:solidFill>
                </w14:textFill>
              </w:rPr>
              <w:t>医药制造业</w:t>
            </w:r>
          </w:p>
        </w:tc>
        <w:tc>
          <w:tcPr>
            <w:tcW w:w="3555" w:type="dxa"/>
            <w:tcBorders>
              <w:right w:val="nil"/>
            </w:tcBorders>
          </w:tcPr>
          <w:p w14:paraId="4868D079">
            <w:pPr>
              <w:tabs>
                <w:tab w:val="left" w:pos="497"/>
              </w:tabs>
              <w:spacing w:line="360" w:lineRule="auto"/>
              <w:ind w:left="0" w:firstLine="0" w:firstLineChars="0"/>
              <w:jc w:val="right"/>
              <w:rPr>
                <w:rFonts w:hint="default" w:ascii="仿宋" w:eastAsia="仿宋" w:cs="仿宋"/>
                <w:b w:val="0"/>
                <w:b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eastAsia="仿宋" w:cs="仿宋"/>
                <w:b w:val="0"/>
                <w:bCs w:val="0"/>
                <w:color w:val="000000" w:themeColor="text1"/>
                <w:kern w:val="2"/>
                <w:sz w:val="24"/>
                <w:szCs w:val="24"/>
                <w:highlight w:val="none"/>
                <w:vertAlign w:val="baseline"/>
                <w:lang w:val="en-US" w:eastAsia="zh-CN" w:bidi="ar-SA"/>
                <w14:textFill>
                  <w14:solidFill>
                    <w14:schemeClr w14:val="tx1"/>
                  </w14:solidFill>
                </w14:textFill>
              </w:rPr>
              <w:t>23.7</w:t>
            </w:r>
          </w:p>
        </w:tc>
      </w:tr>
      <w:tr w14:paraId="7F473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99" w:type="dxa"/>
            <w:tcBorders>
              <w:left w:val="nil"/>
            </w:tcBorders>
          </w:tcPr>
          <w:p w14:paraId="072FB0AC">
            <w:pPr>
              <w:tabs>
                <w:tab w:val="left" w:pos="497"/>
              </w:tabs>
              <w:spacing w:line="360" w:lineRule="auto"/>
              <w:ind w:left="0" w:firstLine="240" w:firstLineChars="100"/>
              <w:jc w:val="both"/>
              <w:rPr>
                <w:rFonts w:hint="eastAsia" w:ascii="仿宋" w:eastAsia="仿宋" w:cs="仿宋"/>
                <w:b w:val="0"/>
                <w:b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eastAsia="仿宋" w:cs="仿宋"/>
                <w:b w:val="0"/>
                <w:bCs w:val="0"/>
                <w:color w:val="000000" w:themeColor="text1"/>
                <w:sz w:val="24"/>
                <w:szCs w:val="24"/>
                <w:highlight w:val="none"/>
                <w:vertAlign w:val="baseline"/>
                <w:lang w:val="en-US" w:eastAsia="zh-CN"/>
                <w14:textFill>
                  <w14:solidFill>
                    <w14:schemeClr w14:val="tx1"/>
                  </w14:solidFill>
                </w14:textFill>
              </w:rPr>
              <w:t>食品制造业</w:t>
            </w:r>
          </w:p>
        </w:tc>
        <w:tc>
          <w:tcPr>
            <w:tcW w:w="3555" w:type="dxa"/>
            <w:tcBorders>
              <w:right w:val="nil"/>
            </w:tcBorders>
          </w:tcPr>
          <w:p w14:paraId="1C1F53DC">
            <w:pPr>
              <w:tabs>
                <w:tab w:val="left" w:pos="497"/>
              </w:tabs>
              <w:spacing w:line="360" w:lineRule="auto"/>
              <w:ind w:left="0" w:firstLine="0" w:firstLineChars="0"/>
              <w:jc w:val="right"/>
              <w:rPr>
                <w:rFonts w:ascii="仿宋" w:eastAsia="仿宋" w:cs="仿宋"/>
                <w:b w:val="0"/>
                <w:b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eastAsia="仿宋" w:cs="仿宋"/>
                <w:b w:val="0"/>
                <w:bCs w:val="0"/>
                <w:color w:val="000000" w:themeColor="text1"/>
                <w:sz w:val="24"/>
                <w:szCs w:val="24"/>
                <w:highlight w:val="none"/>
                <w:vertAlign w:val="baseline"/>
                <w:lang w:val="en-US" w:eastAsia="zh-CN"/>
                <w14:textFill>
                  <w14:solidFill>
                    <w14:schemeClr w14:val="tx1"/>
                  </w14:solidFill>
                </w14:textFill>
              </w:rPr>
              <w:t>23.5</w:t>
            </w:r>
          </w:p>
        </w:tc>
      </w:tr>
      <w:tr w14:paraId="45E64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99" w:type="dxa"/>
            <w:tcBorders>
              <w:left w:val="nil"/>
            </w:tcBorders>
          </w:tcPr>
          <w:p w14:paraId="7F581063">
            <w:pPr>
              <w:tabs>
                <w:tab w:val="left" w:pos="497"/>
              </w:tabs>
              <w:spacing w:line="360" w:lineRule="auto"/>
              <w:ind w:left="0" w:firstLine="240" w:firstLineChars="100"/>
              <w:jc w:val="both"/>
              <w:rPr>
                <w:rFonts w:hint="eastAsia" w:ascii="仿宋" w:eastAsia="仿宋" w:cs="仿宋"/>
                <w:b w:val="0"/>
                <w:b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eastAsia="仿宋" w:cs="仿宋"/>
                <w:b w:val="0"/>
                <w:bCs w:val="0"/>
                <w:color w:val="000000" w:themeColor="text1"/>
                <w:kern w:val="2"/>
                <w:sz w:val="24"/>
                <w:szCs w:val="24"/>
                <w:highlight w:val="none"/>
                <w:vertAlign w:val="baseline"/>
                <w:lang w:val="en-US" w:eastAsia="zh-CN" w:bidi="ar-SA"/>
                <w14:textFill>
                  <w14:solidFill>
                    <w14:schemeClr w14:val="tx1"/>
                  </w14:solidFill>
                </w14:textFill>
              </w:rPr>
              <w:t>非金属制品加工业</w:t>
            </w:r>
          </w:p>
        </w:tc>
        <w:tc>
          <w:tcPr>
            <w:tcW w:w="3555" w:type="dxa"/>
            <w:tcBorders>
              <w:right w:val="nil"/>
            </w:tcBorders>
          </w:tcPr>
          <w:p w14:paraId="73E96ECA">
            <w:pPr>
              <w:tabs>
                <w:tab w:val="left" w:pos="497"/>
              </w:tabs>
              <w:spacing w:line="360" w:lineRule="auto"/>
              <w:ind w:left="0" w:firstLine="0" w:firstLineChars="0"/>
              <w:jc w:val="right"/>
              <w:rPr>
                <w:rFonts w:hint="default" w:ascii="仿宋" w:eastAsia="仿宋" w:cs="仿宋"/>
                <w:b w:val="0"/>
                <w:b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eastAsia="仿宋" w:cs="仿宋"/>
                <w:b w:val="0"/>
                <w:bCs w:val="0"/>
                <w:color w:val="000000" w:themeColor="text1"/>
                <w:kern w:val="2"/>
                <w:sz w:val="24"/>
                <w:szCs w:val="24"/>
                <w:highlight w:val="none"/>
                <w:vertAlign w:val="baseline"/>
                <w:lang w:val="en-US" w:eastAsia="zh-CN" w:bidi="ar-SA"/>
                <w14:textFill>
                  <w14:solidFill>
                    <w14:schemeClr w14:val="tx1"/>
                  </w14:solidFill>
                </w14:textFill>
              </w:rPr>
              <w:t>10.9</w:t>
            </w:r>
          </w:p>
        </w:tc>
      </w:tr>
      <w:tr w14:paraId="0827F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99" w:type="dxa"/>
            <w:tcBorders>
              <w:left w:val="nil"/>
            </w:tcBorders>
          </w:tcPr>
          <w:p w14:paraId="5F72A9F2">
            <w:pPr>
              <w:tabs>
                <w:tab w:val="left" w:pos="497"/>
              </w:tabs>
              <w:spacing w:line="360" w:lineRule="auto"/>
              <w:ind w:left="0" w:firstLine="240" w:firstLineChars="100"/>
              <w:jc w:val="both"/>
              <w:rPr>
                <w:rFonts w:hint="eastAsia" w:ascii="仿宋" w:eastAsia="仿宋" w:cs="仿宋"/>
                <w:b w:val="0"/>
                <w:b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eastAsia="仿宋" w:cs="仿宋"/>
                <w:b w:val="0"/>
                <w:bCs w:val="0"/>
                <w:color w:val="000000" w:themeColor="text1"/>
                <w:kern w:val="2"/>
                <w:sz w:val="24"/>
                <w:szCs w:val="24"/>
                <w:highlight w:val="none"/>
                <w:vertAlign w:val="baseline"/>
                <w:lang w:val="en-US" w:eastAsia="zh-CN" w:bidi="ar-SA"/>
                <w14:textFill>
                  <w14:solidFill>
                    <w14:schemeClr w14:val="tx1"/>
                  </w14:solidFill>
                </w14:textFill>
              </w:rPr>
              <w:t>通用设备制造业</w:t>
            </w:r>
          </w:p>
        </w:tc>
        <w:tc>
          <w:tcPr>
            <w:tcW w:w="3555" w:type="dxa"/>
            <w:tcBorders>
              <w:right w:val="nil"/>
            </w:tcBorders>
          </w:tcPr>
          <w:p w14:paraId="56E1CF01">
            <w:pPr>
              <w:tabs>
                <w:tab w:val="left" w:pos="497"/>
              </w:tabs>
              <w:spacing w:line="360" w:lineRule="auto"/>
              <w:ind w:left="0" w:firstLine="0" w:firstLineChars="0"/>
              <w:jc w:val="right"/>
              <w:rPr>
                <w:rFonts w:hint="default" w:ascii="仿宋" w:eastAsia="仿宋" w:cs="仿宋"/>
                <w:b w:val="0"/>
                <w:b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eastAsia="仿宋" w:cs="仿宋"/>
                <w:b w:val="0"/>
                <w:bCs w:val="0"/>
                <w:color w:val="000000" w:themeColor="text1"/>
                <w:sz w:val="24"/>
                <w:szCs w:val="24"/>
                <w:highlight w:val="none"/>
                <w:vertAlign w:val="baseline"/>
                <w:lang w:val="en-US" w:eastAsia="zh-CN"/>
                <w14:textFill>
                  <w14:solidFill>
                    <w14:schemeClr w14:val="tx1"/>
                  </w14:solidFill>
                </w14:textFill>
              </w:rPr>
              <w:t>8.6</w:t>
            </w:r>
          </w:p>
        </w:tc>
      </w:tr>
      <w:tr w14:paraId="122A8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99" w:type="dxa"/>
            <w:tcBorders>
              <w:left w:val="nil"/>
            </w:tcBorders>
          </w:tcPr>
          <w:p w14:paraId="33CEBCA6">
            <w:pPr>
              <w:tabs>
                <w:tab w:val="left" w:pos="497"/>
              </w:tabs>
              <w:spacing w:line="360" w:lineRule="auto"/>
              <w:ind w:left="0" w:firstLine="0" w:firstLineChars="0"/>
              <w:jc w:val="both"/>
              <w:rPr>
                <w:rFonts w:hint="eastAsia" w:ascii="仿宋" w:eastAsia="仿宋" w:cs="仿宋"/>
                <w:b w:val="0"/>
                <w:b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eastAsia="仿宋" w:cs="仿宋"/>
                <w:b w:val="0"/>
                <w:bCs w:val="0"/>
                <w:color w:val="000000" w:themeColor="text1"/>
                <w:sz w:val="24"/>
                <w:szCs w:val="24"/>
                <w:highlight w:val="none"/>
                <w:vertAlign w:val="baseline"/>
                <w:lang w:val="en-US" w:eastAsia="zh-CN"/>
                <w14:textFill>
                  <w14:solidFill>
                    <w14:schemeClr w14:val="tx1"/>
                  </w14:solidFill>
                </w14:textFill>
              </w:rPr>
              <w:t xml:space="preserve">  橡胶和塑料制品加工业</w:t>
            </w:r>
          </w:p>
        </w:tc>
        <w:tc>
          <w:tcPr>
            <w:tcW w:w="3555" w:type="dxa"/>
            <w:tcBorders>
              <w:right w:val="nil"/>
            </w:tcBorders>
          </w:tcPr>
          <w:p w14:paraId="4067D46E">
            <w:pPr>
              <w:tabs>
                <w:tab w:val="left" w:pos="497"/>
              </w:tabs>
              <w:spacing w:line="360" w:lineRule="auto"/>
              <w:ind w:left="0" w:firstLine="0" w:firstLineChars="0"/>
              <w:jc w:val="right"/>
              <w:rPr>
                <w:rFonts w:hint="default" w:ascii="仿宋" w:eastAsia="仿宋" w:cs="仿宋"/>
                <w:b w:val="0"/>
                <w:b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eastAsia="仿宋" w:cs="仿宋"/>
                <w:b w:val="0"/>
                <w:bCs w:val="0"/>
                <w:color w:val="000000" w:themeColor="text1"/>
                <w:kern w:val="2"/>
                <w:sz w:val="24"/>
                <w:szCs w:val="24"/>
                <w:highlight w:val="none"/>
                <w:vertAlign w:val="baseline"/>
                <w:lang w:val="en-US" w:eastAsia="zh-CN" w:bidi="ar-SA"/>
                <w14:textFill>
                  <w14:solidFill>
                    <w14:schemeClr w14:val="tx1"/>
                  </w14:solidFill>
                </w14:textFill>
              </w:rPr>
              <w:t>7.4</w:t>
            </w:r>
          </w:p>
        </w:tc>
      </w:tr>
      <w:tr w14:paraId="643BF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99" w:type="dxa"/>
            <w:tcBorders>
              <w:left w:val="nil"/>
            </w:tcBorders>
          </w:tcPr>
          <w:p w14:paraId="6F32250F">
            <w:pPr>
              <w:tabs>
                <w:tab w:val="left" w:pos="497"/>
              </w:tabs>
              <w:spacing w:line="360" w:lineRule="auto"/>
              <w:ind w:left="0" w:firstLine="240" w:firstLineChars="100"/>
              <w:jc w:val="both"/>
              <w:rPr>
                <w:rFonts w:hint="eastAsia" w:ascii="仿宋" w:eastAsia="仿宋" w:cs="仿宋"/>
                <w:b w:val="0"/>
                <w:b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eastAsia="仿宋" w:cs="仿宋"/>
                <w:b w:val="0"/>
                <w:bCs w:val="0"/>
                <w:color w:val="000000" w:themeColor="text1"/>
                <w:sz w:val="24"/>
                <w:szCs w:val="24"/>
                <w:highlight w:val="none"/>
                <w:vertAlign w:val="baseline"/>
                <w:lang w:val="en-US" w:eastAsia="zh-CN"/>
                <w14:textFill>
                  <w14:solidFill>
                    <w14:schemeClr w14:val="tx1"/>
                  </w14:solidFill>
                </w14:textFill>
              </w:rPr>
              <w:t>汽车制造业</w:t>
            </w:r>
          </w:p>
        </w:tc>
        <w:tc>
          <w:tcPr>
            <w:tcW w:w="3555" w:type="dxa"/>
            <w:tcBorders>
              <w:right w:val="nil"/>
            </w:tcBorders>
          </w:tcPr>
          <w:p w14:paraId="0B35663D">
            <w:pPr>
              <w:tabs>
                <w:tab w:val="left" w:pos="497"/>
              </w:tabs>
              <w:spacing w:line="360" w:lineRule="auto"/>
              <w:ind w:left="0" w:firstLine="0" w:firstLineChars="0"/>
              <w:jc w:val="right"/>
              <w:rPr>
                <w:rFonts w:hint="default" w:ascii="仿宋" w:eastAsia="仿宋" w:cs="仿宋"/>
                <w:b w:val="0"/>
                <w:b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eastAsia="仿宋" w:cs="仿宋"/>
                <w:b w:val="0"/>
                <w:bCs w:val="0"/>
                <w:color w:val="000000" w:themeColor="text1"/>
                <w:sz w:val="24"/>
                <w:szCs w:val="24"/>
                <w:highlight w:val="none"/>
                <w:vertAlign w:val="baseline"/>
                <w:lang w:val="en-US" w:eastAsia="zh-CN"/>
                <w14:textFill>
                  <w14:solidFill>
                    <w14:schemeClr w14:val="tx1"/>
                  </w14:solidFill>
                </w14:textFill>
              </w:rPr>
              <w:t>0.7</w:t>
            </w:r>
          </w:p>
        </w:tc>
      </w:tr>
      <w:tr w14:paraId="5082A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99" w:type="dxa"/>
            <w:tcBorders>
              <w:left w:val="nil"/>
            </w:tcBorders>
          </w:tcPr>
          <w:p w14:paraId="6EA90B3A">
            <w:pPr>
              <w:tabs>
                <w:tab w:val="left" w:pos="497"/>
              </w:tabs>
              <w:spacing w:line="360" w:lineRule="auto"/>
              <w:ind w:left="0" w:firstLine="240" w:firstLineChars="100"/>
              <w:jc w:val="both"/>
              <w:rPr>
                <w:rFonts w:hint="eastAsia" w:ascii="仿宋" w:eastAsia="仿宋" w:cs="仿宋"/>
                <w:b w:val="0"/>
                <w:b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eastAsia="仿宋" w:cs="仿宋"/>
                <w:b w:val="0"/>
                <w:bCs w:val="0"/>
                <w:color w:val="000000" w:themeColor="text1"/>
                <w:kern w:val="2"/>
                <w:sz w:val="24"/>
                <w:szCs w:val="24"/>
                <w:highlight w:val="none"/>
                <w:vertAlign w:val="baseline"/>
                <w:lang w:val="en-US" w:eastAsia="zh-CN" w:bidi="ar-SA"/>
                <w14:textFill>
                  <w14:solidFill>
                    <w14:schemeClr w14:val="tx1"/>
                  </w14:solidFill>
                </w14:textFill>
              </w:rPr>
              <w:t>电力、热力生产和供应业</w:t>
            </w:r>
          </w:p>
        </w:tc>
        <w:tc>
          <w:tcPr>
            <w:tcW w:w="3555" w:type="dxa"/>
            <w:tcBorders>
              <w:right w:val="nil"/>
            </w:tcBorders>
          </w:tcPr>
          <w:p w14:paraId="2B778171">
            <w:pPr>
              <w:tabs>
                <w:tab w:val="left" w:pos="497"/>
              </w:tabs>
              <w:spacing w:line="360" w:lineRule="auto"/>
              <w:ind w:left="0" w:firstLine="0" w:firstLineChars="0"/>
              <w:jc w:val="right"/>
              <w:rPr>
                <w:rFonts w:hint="default" w:ascii="仿宋" w:eastAsia="仿宋" w:cs="仿宋"/>
                <w:b w:val="0"/>
                <w:b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eastAsia="仿宋" w:cs="仿宋"/>
                <w:b w:val="0"/>
                <w:bCs w:val="0"/>
                <w:color w:val="000000" w:themeColor="text1"/>
                <w:kern w:val="2"/>
                <w:sz w:val="24"/>
                <w:szCs w:val="24"/>
                <w:highlight w:val="none"/>
                <w:vertAlign w:val="baseline"/>
                <w:lang w:val="en-US" w:eastAsia="zh-CN" w:bidi="ar-SA"/>
                <w14:textFill>
                  <w14:solidFill>
                    <w14:schemeClr w14:val="tx1"/>
                  </w14:solidFill>
                </w14:textFill>
              </w:rPr>
              <w:t>0</w:t>
            </w:r>
          </w:p>
        </w:tc>
      </w:tr>
      <w:tr w14:paraId="425B9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99" w:type="dxa"/>
            <w:tcBorders>
              <w:left w:val="nil"/>
            </w:tcBorders>
          </w:tcPr>
          <w:p w14:paraId="5B15B51C">
            <w:pPr>
              <w:tabs>
                <w:tab w:val="left" w:pos="497"/>
              </w:tabs>
              <w:spacing w:line="360" w:lineRule="auto"/>
              <w:ind w:left="0" w:firstLine="240" w:firstLineChars="100"/>
              <w:jc w:val="both"/>
              <w:rPr>
                <w:rFonts w:hint="eastAsia" w:ascii="仿宋" w:eastAsia="仿宋" w:cs="仿宋"/>
                <w:b w:val="0"/>
                <w:b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eastAsia="仿宋" w:cs="仿宋"/>
                <w:b w:val="0"/>
                <w:bCs w:val="0"/>
                <w:color w:val="000000" w:themeColor="text1"/>
                <w:kern w:val="2"/>
                <w:sz w:val="24"/>
                <w:szCs w:val="24"/>
                <w:highlight w:val="none"/>
                <w:vertAlign w:val="baseline"/>
                <w:lang w:val="en-US" w:eastAsia="zh-CN" w:bidi="ar-SA"/>
                <w14:textFill>
                  <w14:solidFill>
                    <w14:schemeClr w14:val="tx1"/>
                  </w14:solidFill>
                </w14:textFill>
              </w:rPr>
              <w:t>专用设备制造业</w:t>
            </w:r>
          </w:p>
        </w:tc>
        <w:tc>
          <w:tcPr>
            <w:tcW w:w="3555" w:type="dxa"/>
            <w:tcBorders>
              <w:right w:val="nil"/>
            </w:tcBorders>
          </w:tcPr>
          <w:p w14:paraId="5387F2DC">
            <w:pPr>
              <w:tabs>
                <w:tab w:val="left" w:pos="497"/>
              </w:tabs>
              <w:spacing w:line="360" w:lineRule="auto"/>
              <w:ind w:left="0" w:firstLine="0" w:firstLineChars="0"/>
              <w:jc w:val="right"/>
              <w:rPr>
                <w:rFonts w:hint="default" w:ascii="仿宋" w:eastAsia="仿宋" w:cs="仿宋"/>
                <w:b w:val="0"/>
                <w:b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eastAsia="仿宋" w:cs="仿宋"/>
                <w:b w:val="0"/>
                <w:bCs w:val="0"/>
                <w:color w:val="000000" w:themeColor="text1"/>
                <w:kern w:val="2"/>
                <w:sz w:val="24"/>
                <w:szCs w:val="24"/>
                <w:highlight w:val="none"/>
                <w:vertAlign w:val="baseline"/>
                <w:lang w:val="en-US" w:eastAsia="zh-CN" w:bidi="ar-SA"/>
                <w14:textFill>
                  <w14:solidFill>
                    <w14:schemeClr w14:val="tx1"/>
                  </w14:solidFill>
                </w14:textFill>
              </w:rPr>
              <w:t>-2</w:t>
            </w:r>
          </w:p>
        </w:tc>
      </w:tr>
      <w:tr w14:paraId="4E637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99" w:type="dxa"/>
            <w:tcBorders>
              <w:left w:val="nil"/>
            </w:tcBorders>
          </w:tcPr>
          <w:p w14:paraId="07F1E68E">
            <w:pPr>
              <w:tabs>
                <w:tab w:val="left" w:pos="497"/>
              </w:tabs>
              <w:spacing w:line="360" w:lineRule="auto"/>
              <w:ind w:left="0" w:firstLine="240" w:firstLineChars="100"/>
              <w:jc w:val="both"/>
              <w:rPr>
                <w:rFonts w:hint="eastAsia" w:ascii="仿宋" w:eastAsia="仿宋" w:cs="仿宋"/>
                <w:b w:val="0"/>
                <w:b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eastAsia="仿宋" w:cs="仿宋"/>
                <w:b w:val="0"/>
                <w:bCs w:val="0"/>
                <w:color w:val="000000" w:themeColor="text1"/>
                <w:kern w:val="2"/>
                <w:sz w:val="24"/>
                <w:szCs w:val="24"/>
                <w:highlight w:val="none"/>
                <w:vertAlign w:val="baseline"/>
                <w:lang w:val="en-US" w:eastAsia="zh-CN" w:bidi="ar-SA"/>
                <w14:textFill>
                  <w14:solidFill>
                    <w14:schemeClr w14:val="tx1"/>
                  </w14:solidFill>
                </w14:textFill>
              </w:rPr>
              <w:t>纺织服装、服饰业</w:t>
            </w:r>
          </w:p>
        </w:tc>
        <w:tc>
          <w:tcPr>
            <w:tcW w:w="3555" w:type="dxa"/>
            <w:tcBorders>
              <w:right w:val="nil"/>
            </w:tcBorders>
          </w:tcPr>
          <w:p w14:paraId="565E07C5">
            <w:pPr>
              <w:tabs>
                <w:tab w:val="left" w:pos="497"/>
              </w:tabs>
              <w:spacing w:line="360" w:lineRule="auto"/>
              <w:ind w:left="0" w:firstLine="0" w:firstLineChars="0"/>
              <w:jc w:val="right"/>
              <w:rPr>
                <w:rFonts w:hint="default" w:ascii="仿宋" w:eastAsia="仿宋" w:cs="仿宋"/>
                <w:b w:val="0"/>
                <w:b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eastAsia="仿宋" w:cs="仿宋"/>
                <w:b w:val="0"/>
                <w:bCs w:val="0"/>
                <w:color w:val="000000" w:themeColor="text1"/>
                <w:kern w:val="2"/>
                <w:sz w:val="24"/>
                <w:szCs w:val="24"/>
                <w:highlight w:val="none"/>
                <w:vertAlign w:val="baseline"/>
                <w:lang w:val="en-US" w:eastAsia="zh-CN" w:bidi="ar-SA"/>
                <w14:textFill>
                  <w14:solidFill>
                    <w14:schemeClr w14:val="tx1"/>
                  </w14:solidFill>
                </w14:textFill>
              </w:rPr>
              <w:t>-2.1</w:t>
            </w:r>
          </w:p>
        </w:tc>
      </w:tr>
      <w:tr w14:paraId="2E7E2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99" w:type="dxa"/>
            <w:tcBorders>
              <w:left w:val="nil"/>
            </w:tcBorders>
          </w:tcPr>
          <w:p w14:paraId="7A4F0D55">
            <w:pPr>
              <w:tabs>
                <w:tab w:val="left" w:pos="497"/>
              </w:tabs>
              <w:spacing w:line="360" w:lineRule="auto"/>
              <w:ind w:left="0" w:firstLine="240" w:firstLineChars="100"/>
              <w:jc w:val="both"/>
              <w:rPr>
                <w:rFonts w:hint="eastAsia" w:ascii="仿宋" w:eastAsia="仿宋" w:cs="仿宋"/>
                <w:b w:val="0"/>
                <w:b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eastAsia="仿宋" w:cs="仿宋"/>
                <w:b w:val="0"/>
                <w:bCs w:val="0"/>
                <w:color w:val="000000" w:themeColor="text1"/>
                <w:sz w:val="24"/>
                <w:szCs w:val="24"/>
                <w:highlight w:val="none"/>
                <w:vertAlign w:val="baseline"/>
                <w:lang w:val="en-US" w:eastAsia="zh-CN"/>
                <w14:textFill>
                  <w14:solidFill>
                    <w14:schemeClr w14:val="tx1"/>
                  </w14:solidFill>
                </w14:textFill>
              </w:rPr>
              <w:t>农副食品加工业</w:t>
            </w:r>
          </w:p>
        </w:tc>
        <w:tc>
          <w:tcPr>
            <w:tcW w:w="3555" w:type="dxa"/>
            <w:tcBorders>
              <w:right w:val="nil"/>
            </w:tcBorders>
          </w:tcPr>
          <w:p w14:paraId="77BE99BC">
            <w:pPr>
              <w:tabs>
                <w:tab w:val="left" w:pos="497"/>
              </w:tabs>
              <w:spacing w:line="360" w:lineRule="auto"/>
              <w:ind w:left="0" w:firstLine="0" w:firstLineChars="0"/>
              <w:jc w:val="right"/>
              <w:rPr>
                <w:rFonts w:hint="default" w:ascii="仿宋" w:eastAsia="仿宋" w:cs="仿宋"/>
                <w:b w:val="0"/>
                <w:b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eastAsia="仿宋" w:cs="仿宋"/>
                <w:b w:val="0"/>
                <w:bCs w:val="0"/>
                <w:color w:val="000000" w:themeColor="text1"/>
                <w:kern w:val="2"/>
                <w:sz w:val="24"/>
                <w:szCs w:val="24"/>
                <w:highlight w:val="none"/>
                <w:vertAlign w:val="baseline"/>
                <w:lang w:val="en-US" w:eastAsia="zh-CN" w:bidi="ar-SA"/>
                <w14:textFill>
                  <w14:solidFill>
                    <w14:schemeClr w14:val="tx1"/>
                  </w14:solidFill>
                </w14:textFill>
              </w:rPr>
              <w:t>-19.5</w:t>
            </w:r>
          </w:p>
        </w:tc>
      </w:tr>
      <w:tr w14:paraId="46E37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99" w:type="dxa"/>
            <w:tcBorders>
              <w:left w:val="nil"/>
            </w:tcBorders>
          </w:tcPr>
          <w:p w14:paraId="6EFD9653">
            <w:pPr>
              <w:tabs>
                <w:tab w:val="left" w:pos="497"/>
              </w:tabs>
              <w:spacing w:line="360" w:lineRule="auto"/>
              <w:ind w:left="0" w:firstLine="240" w:firstLineChars="100"/>
              <w:jc w:val="both"/>
              <w:rPr>
                <w:rFonts w:hint="eastAsia" w:asci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eastAsia="仿宋" w:cs="仿宋"/>
                <w:b w:val="0"/>
                <w:bCs w:val="0"/>
                <w:color w:val="000000" w:themeColor="text1"/>
                <w:sz w:val="24"/>
                <w:szCs w:val="24"/>
                <w:highlight w:val="none"/>
                <w:vertAlign w:val="baseline"/>
                <w:lang w:val="en-US" w:eastAsia="zh-CN"/>
                <w14:textFill>
                  <w14:solidFill>
                    <w14:schemeClr w14:val="tx1"/>
                  </w14:solidFill>
                </w14:textFill>
              </w:rPr>
              <w:t>化学原料和化学制品制造业</w:t>
            </w:r>
          </w:p>
        </w:tc>
        <w:tc>
          <w:tcPr>
            <w:tcW w:w="3555" w:type="dxa"/>
            <w:tcBorders>
              <w:right w:val="nil"/>
            </w:tcBorders>
          </w:tcPr>
          <w:p w14:paraId="04A742F7">
            <w:pPr>
              <w:tabs>
                <w:tab w:val="left" w:pos="497"/>
              </w:tabs>
              <w:spacing w:line="360" w:lineRule="auto"/>
              <w:ind w:left="0" w:firstLine="0" w:firstLineChars="0"/>
              <w:jc w:val="right"/>
              <w:rPr>
                <w:rFonts w:hint="default" w:ascii="仿宋" w:eastAsia="仿宋" w:cs="仿宋"/>
                <w:b w:val="0"/>
                <w:bCs w:val="0"/>
                <w:color w:val="000000" w:themeColor="text1"/>
                <w:sz w:val="24"/>
                <w:szCs w:val="24"/>
                <w:highlight w:val="none"/>
                <w:vertAlign w:val="baseline"/>
                <w:lang w:val="en-US" w:eastAsia="zh-CN"/>
                <w14:textFill>
                  <w14:solidFill>
                    <w14:schemeClr w14:val="tx1"/>
                  </w14:solidFill>
                </w14:textFill>
              </w:rPr>
            </w:pPr>
            <w:r>
              <w:rPr>
                <w:rFonts w:hint="eastAsia" w:ascii="仿宋" w:eastAsia="仿宋" w:cs="仿宋"/>
                <w:b w:val="0"/>
                <w:bCs w:val="0"/>
                <w:color w:val="000000" w:themeColor="text1"/>
                <w:sz w:val="24"/>
                <w:szCs w:val="24"/>
                <w:highlight w:val="none"/>
                <w:vertAlign w:val="baseline"/>
                <w:lang w:val="en-US" w:eastAsia="zh-CN"/>
                <w14:textFill>
                  <w14:solidFill>
                    <w14:schemeClr w14:val="tx1"/>
                  </w14:solidFill>
                </w14:textFill>
              </w:rPr>
              <w:t>-78.1</w:t>
            </w:r>
          </w:p>
        </w:tc>
      </w:tr>
    </w:tbl>
    <w:p w14:paraId="099E75B8">
      <w:pPr>
        <w:pStyle w:val="2"/>
        <w:keepNext w:val="0"/>
        <w:keepLines w:val="0"/>
        <w:pageBreakBefore w:val="0"/>
        <w:widowControl w:val="0"/>
        <w:kinsoku/>
        <w:wordWrap/>
        <w:overflowPunct/>
        <w:topLinePunct w:val="0"/>
        <w:autoSpaceDE/>
        <w:autoSpaceDN/>
        <w:bidi w:val="0"/>
        <w:adjustRightInd/>
        <w:snapToGrid/>
        <w:ind w:left="0" w:leftChars="0" w:firstLine="643" w:firstLineChars="200"/>
      </w:pPr>
      <w:r>
        <w:rPr>
          <w:rFonts w:hint="eastAsia"/>
        </w:rPr>
        <w:t>四、建筑业</w:t>
      </w:r>
    </w:p>
    <w:p w14:paraId="44C74B8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建筑业作为朝阳区的支柱产业之一，在改善</w:t>
      </w:r>
      <w:r>
        <w:rPr>
          <w:rFonts w:hint="eastAsia" w:ascii="仿宋" w:hAnsi="仿宋" w:eastAsia="仿宋" w:cs="仿宋"/>
          <w:color w:val="auto"/>
          <w:sz w:val="32"/>
          <w:szCs w:val="32"/>
          <w:lang w:eastAsia="zh-CN"/>
        </w:rPr>
        <w:t>民众</w:t>
      </w:r>
      <w:r>
        <w:rPr>
          <w:rFonts w:hint="eastAsia" w:ascii="仿宋" w:hAnsi="仿宋" w:eastAsia="仿宋" w:cs="仿宋"/>
          <w:color w:val="auto"/>
          <w:sz w:val="32"/>
          <w:szCs w:val="32"/>
        </w:rPr>
        <w:t>生活环境的同时，更是为区域经济发展作出了重要贡献。</w:t>
      </w:r>
      <w:r>
        <w:rPr>
          <w:rFonts w:hint="eastAsia" w:ascii="仿宋" w:hAnsi="仿宋" w:eastAsia="仿宋" w:cs="仿宋"/>
          <w:color w:val="auto"/>
          <w:sz w:val="32"/>
          <w:szCs w:val="32"/>
          <w:lang w:val="en-US" w:eastAsia="zh-CN"/>
        </w:rPr>
        <w:t>2023年</w:t>
      </w: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4季度, 全区2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4户资质以上建筑业完成总产值</w:t>
      </w:r>
      <w:r>
        <w:rPr>
          <w:rFonts w:hint="eastAsia" w:ascii="仿宋" w:hAnsi="仿宋" w:eastAsia="仿宋" w:cs="仿宋"/>
          <w:color w:val="auto"/>
          <w:sz w:val="32"/>
          <w:szCs w:val="32"/>
          <w:lang w:val="en-US" w:eastAsia="zh-CN"/>
        </w:rPr>
        <w:t>94.8</w:t>
      </w:r>
      <w:r>
        <w:rPr>
          <w:rFonts w:hint="eastAsia" w:ascii="仿宋" w:hAnsi="仿宋" w:eastAsia="仿宋" w:cs="仿宋"/>
          <w:color w:val="auto"/>
          <w:sz w:val="32"/>
          <w:szCs w:val="32"/>
        </w:rPr>
        <w:t>亿元，同比下降</w:t>
      </w:r>
      <w:r>
        <w:rPr>
          <w:rFonts w:hint="eastAsia" w:ascii="仿宋" w:hAnsi="仿宋" w:eastAsia="仿宋" w:cs="仿宋"/>
          <w:color w:val="auto"/>
          <w:sz w:val="32"/>
          <w:szCs w:val="32"/>
          <w:lang w:val="en-US" w:eastAsia="zh-CN"/>
        </w:rPr>
        <w:t>6.3</w:t>
      </w:r>
      <w:r>
        <w:rPr>
          <w:rFonts w:hint="eastAsia" w:ascii="仿宋" w:hAnsi="仿宋" w:eastAsia="仿宋" w:cs="仿宋"/>
          <w:color w:val="auto"/>
          <w:sz w:val="32"/>
          <w:szCs w:val="32"/>
        </w:rPr>
        <w:t>%，增速位居</w:t>
      </w:r>
      <w:r>
        <w:rPr>
          <w:rFonts w:hint="eastAsia" w:ascii="仿宋" w:hAnsi="仿宋" w:eastAsia="仿宋" w:cs="仿宋"/>
          <w:color w:val="auto"/>
          <w:sz w:val="32"/>
          <w:szCs w:val="32"/>
          <w:lang w:eastAsia="zh-CN"/>
        </w:rPr>
        <w:t>城区</w:t>
      </w:r>
      <w:r>
        <w:rPr>
          <w:rFonts w:hint="eastAsia" w:ascii="仿宋" w:hAnsi="仿宋" w:eastAsia="仿宋" w:cs="仿宋"/>
          <w:color w:val="auto"/>
          <w:sz w:val="32"/>
          <w:szCs w:val="32"/>
        </w:rPr>
        <w:t>第</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因</w:t>
      </w:r>
      <w:r>
        <w:rPr>
          <w:rFonts w:hint="eastAsia" w:ascii="仿宋" w:hAnsi="仿宋" w:eastAsia="仿宋" w:cs="仿宋"/>
          <w:color w:val="auto"/>
          <w:sz w:val="32"/>
          <w:szCs w:val="32"/>
          <w:lang w:eastAsia="zh-CN"/>
        </w:rPr>
        <w:t>疫情</w:t>
      </w:r>
      <w:r>
        <w:rPr>
          <w:rFonts w:hint="eastAsia" w:ascii="仿宋" w:hAnsi="仿宋" w:eastAsia="仿宋" w:cs="仿宋"/>
          <w:color w:val="auto"/>
          <w:sz w:val="32"/>
          <w:szCs w:val="32"/>
          <w:lang w:val="en-US" w:eastAsia="zh-CN"/>
        </w:rPr>
        <w:t>结束</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建筑业有所回暖,</w:t>
      </w:r>
      <w:r>
        <w:rPr>
          <w:rFonts w:hint="eastAsia" w:ascii="仿宋" w:hAnsi="仿宋" w:eastAsia="仿宋" w:cs="仿宋"/>
          <w:color w:val="auto"/>
          <w:sz w:val="32"/>
          <w:szCs w:val="32"/>
          <w:lang w:eastAsia="zh-CN"/>
        </w:rPr>
        <w:t>增速</w:t>
      </w:r>
      <w:r>
        <w:rPr>
          <w:rFonts w:hint="eastAsia" w:ascii="仿宋" w:hAnsi="仿宋" w:eastAsia="仿宋" w:cs="仿宋"/>
          <w:color w:val="auto"/>
          <w:sz w:val="32"/>
          <w:szCs w:val="32"/>
        </w:rPr>
        <w:t>与上年同期相比</w:t>
      </w:r>
      <w:r>
        <w:rPr>
          <w:rFonts w:hint="eastAsia" w:ascii="仿宋" w:hAnsi="仿宋" w:eastAsia="仿宋" w:cs="仿宋"/>
          <w:color w:val="auto"/>
          <w:sz w:val="32"/>
          <w:szCs w:val="32"/>
          <w:lang w:val="en-US" w:eastAsia="zh-CN"/>
        </w:rPr>
        <w:t>提高</w:t>
      </w:r>
      <w:r>
        <w:rPr>
          <w:rFonts w:hint="eastAsia" w:ascii="仿宋" w:hAnsi="仿宋" w:eastAsia="仿宋" w:cs="仿宋"/>
          <w:color w:val="auto"/>
          <w:sz w:val="32"/>
          <w:szCs w:val="32"/>
        </w:rPr>
        <w:t>了</w:t>
      </w:r>
      <w:r>
        <w:rPr>
          <w:rFonts w:hint="eastAsia" w:ascii="仿宋" w:hAnsi="仿宋" w:eastAsia="仿宋" w:cs="仿宋"/>
          <w:color w:val="auto"/>
          <w:sz w:val="32"/>
          <w:szCs w:val="32"/>
          <w:lang w:val="en-US" w:eastAsia="zh-CN"/>
        </w:rPr>
        <w:t>30.4</w:t>
      </w:r>
      <w:r>
        <w:rPr>
          <w:rFonts w:hint="eastAsia" w:ascii="仿宋" w:hAnsi="仿宋" w:eastAsia="仿宋" w:cs="仿宋"/>
          <w:color w:val="auto"/>
          <w:sz w:val="32"/>
          <w:szCs w:val="32"/>
        </w:rPr>
        <w:t>个百分点，</w:t>
      </w:r>
      <w:r>
        <w:rPr>
          <w:rFonts w:hint="eastAsia" w:ascii="仿宋" w:hAnsi="仿宋" w:eastAsia="仿宋" w:cs="仿宋"/>
          <w:color w:val="auto"/>
          <w:sz w:val="32"/>
          <w:szCs w:val="32"/>
          <w:lang w:val="en-US" w:eastAsia="zh-CN"/>
        </w:rPr>
        <w:t>朝阳区建筑业总体运行已显露回升态势</w:t>
      </w:r>
      <w:r>
        <w:rPr>
          <w:rFonts w:hint="eastAsia" w:ascii="仿宋" w:hAnsi="仿宋" w:eastAsia="仿宋" w:cs="仿宋"/>
          <w:color w:val="auto"/>
          <w:sz w:val="32"/>
          <w:szCs w:val="32"/>
        </w:rPr>
        <w:t>。</w:t>
      </w:r>
    </w:p>
    <w:p w14:paraId="7FD99205">
      <w:pPr>
        <w:keepNext w:val="0"/>
        <w:keepLines w:val="0"/>
        <w:pageBreakBefore w:val="0"/>
        <w:widowControl w:val="0"/>
        <w:kinsoku/>
        <w:wordWrap/>
        <w:overflowPunct/>
        <w:topLinePunct w:val="0"/>
        <w:autoSpaceDE/>
        <w:autoSpaceDN/>
        <w:bidi w:val="0"/>
        <w:adjustRightInd/>
        <w:snapToGrid/>
        <w:ind w:left="0" w:leftChars="0" w:firstLine="562" w:firstLineChars="200"/>
        <w:rPr>
          <w:rFonts w:hint="eastAsia" w:ascii="楷体_GB2312" w:hAnsi="楷体_GB2312" w:eastAsia="楷体_GB2312" w:cs="楷体_GB2312"/>
          <w:b/>
          <w:bCs/>
          <w:color w:val="auto"/>
          <w:sz w:val="28"/>
          <w:szCs w:val="28"/>
          <w:lang w:val="en-US" w:eastAsia="zh-CN"/>
        </w:rPr>
      </w:pPr>
      <w:r>
        <w:rPr>
          <w:rFonts w:hint="eastAsia" w:ascii="楷体_GB2312" w:hAnsi="楷体_GB2312" w:eastAsia="楷体_GB2312" w:cs="楷体_GB2312"/>
          <w:b/>
          <w:bCs/>
          <w:color w:val="auto"/>
          <w:sz w:val="28"/>
          <w:szCs w:val="28"/>
          <w:lang w:val="en-US" w:eastAsia="zh-CN"/>
        </w:rPr>
        <w:t>（一）建筑业生产运行情况和主要特点</w:t>
      </w:r>
    </w:p>
    <w:p w14:paraId="02B52FF8">
      <w:pPr>
        <w:keepNext w:val="0"/>
        <w:keepLines w:val="0"/>
        <w:pageBreakBefore w:val="0"/>
        <w:widowControl w:val="0"/>
        <w:kinsoku/>
        <w:wordWrap/>
        <w:overflowPunct/>
        <w:topLinePunct w:val="0"/>
        <w:autoSpaceDE/>
        <w:autoSpaceDN/>
        <w:bidi w:val="0"/>
        <w:adjustRightInd/>
        <w:snapToGrid/>
        <w:spacing w:line="576" w:lineRule="atLeast"/>
        <w:ind w:firstLine="640" w:firstLineChars="200"/>
        <w:textAlignment w:val="auto"/>
        <w:rPr>
          <w:rFonts w:hint="eastAsia" w:ascii="仿宋" w:hAnsi="仿宋" w:eastAsia="仿宋" w:cs="仿宋"/>
          <w:color w:val="0000FF"/>
          <w:sz w:val="32"/>
          <w:szCs w:val="32"/>
        </w:rPr>
      </w:pPr>
      <w:r>
        <w:rPr>
          <w:rFonts w:hint="eastAsia" w:ascii="仿宋" w:hAnsi="仿宋" w:eastAsia="仿宋" w:cs="仿宋"/>
          <w:color w:val="auto"/>
          <w:sz w:val="32"/>
          <w:szCs w:val="32"/>
        </w:rPr>
        <w:t>1-4季度，</w:t>
      </w:r>
      <w:r>
        <w:rPr>
          <w:rFonts w:hint="eastAsia" w:ascii="仿宋" w:hAnsi="仿宋" w:eastAsia="仿宋" w:cs="仿宋"/>
          <w:color w:val="auto"/>
          <w:sz w:val="32"/>
          <w:szCs w:val="32"/>
          <w:lang w:eastAsia="zh-CN"/>
        </w:rPr>
        <w:t>全</w:t>
      </w:r>
      <w:r>
        <w:rPr>
          <w:rFonts w:hint="eastAsia" w:ascii="仿宋" w:hAnsi="仿宋" w:eastAsia="仿宋" w:cs="仿宋"/>
          <w:color w:val="auto"/>
          <w:sz w:val="32"/>
          <w:szCs w:val="32"/>
        </w:rPr>
        <w:t>区</w:t>
      </w:r>
      <w:r>
        <w:rPr>
          <w:rFonts w:hint="eastAsia" w:ascii="仿宋" w:hAnsi="仿宋" w:eastAsia="仿宋" w:cs="仿宋"/>
          <w:color w:val="auto"/>
          <w:sz w:val="32"/>
          <w:szCs w:val="32"/>
          <w:lang w:eastAsia="zh-CN"/>
        </w:rPr>
        <w:t>完成</w:t>
      </w:r>
      <w:r>
        <w:rPr>
          <w:rFonts w:hint="eastAsia" w:ascii="仿宋" w:hAnsi="仿宋" w:eastAsia="仿宋" w:cs="仿宋"/>
          <w:color w:val="auto"/>
          <w:sz w:val="32"/>
          <w:szCs w:val="32"/>
        </w:rPr>
        <w:t>建筑工程产值</w:t>
      </w:r>
      <w:r>
        <w:rPr>
          <w:rFonts w:hint="eastAsia" w:ascii="仿宋" w:hAnsi="仿宋" w:eastAsia="仿宋" w:cs="仿宋"/>
          <w:color w:val="auto"/>
          <w:sz w:val="32"/>
          <w:szCs w:val="32"/>
          <w:lang w:val="en-US" w:eastAsia="zh-CN"/>
        </w:rPr>
        <w:t>61.2</w:t>
      </w:r>
      <w:r>
        <w:rPr>
          <w:rFonts w:hint="eastAsia" w:ascii="仿宋" w:hAnsi="仿宋" w:eastAsia="仿宋" w:cs="仿宋"/>
          <w:color w:val="auto"/>
          <w:sz w:val="32"/>
          <w:szCs w:val="32"/>
        </w:rPr>
        <w:t>亿元，同比</w:t>
      </w:r>
      <w:r>
        <w:rPr>
          <w:rFonts w:hint="eastAsia" w:ascii="仿宋" w:hAnsi="仿宋" w:eastAsia="仿宋" w:cs="仿宋"/>
          <w:color w:val="auto"/>
          <w:sz w:val="32"/>
          <w:szCs w:val="32"/>
          <w:lang w:eastAsia="zh-CN"/>
        </w:rPr>
        <w:t>下降</w:t>
      </w:r>
      <w:r>
        <w:rPr>
          <w:rFonts w:hint="eastAsia" w:ascii="仿宋" w:hAnsi="仿宋" w:eastAsia="仿宋" w:cs="仿宋"/>
          <w:color w:val="auto"/>
          <w:sz w:val="32"/>
          <w:szCs w:val="32"/>
          <w:lang w:val="en-US" w:eastAsia="zh-CN"/>
        </w:rPr>
        <w:t>9.4</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占建筑业总产值比重的</w:t>
      </w:r>
      <w:r>
        <w:rPr>
          <w:rFonts w:hint="eastAsia" w:ascii="仿宋" w:hAnsi="仿宋" w:eastAsia="仿宋" w:cs="仿宋"/>
          <w:color w:val="auto"/>
          <w:sz w:val="32"/>
          <w:szCs w:val="32"/>
          <w:lang w:val="en-US" w:eastAsia="zh-CN"/>
        </w:rPr>
        <w:t>64.5</w:t>
      </w:r>
      <w:r>
        <w:rPr>
          <w:rFonts w:hint="eastAsia" w:ascii="仿宋" w:hAnsi="仿宋" w:eastAsia="仿宋" w:cs="仿宋"/>
          <w:color w:val="auto"/>
          <w:sz w:val="32"/>
          <w:szCs w:val="32"/>
        </w:rPr>
        <w:t>%，较</w:t>
      </w:r>
      <w:r>
        <w:rPr>
          <w:rFonts w:hint="eastAsia" w:ascii="仿宋" w:hAnsi="仿宋" w:eastAsia="仿宋" w:cs="仿宋"/>
          <w:color w:val="auto"/>
          <w:sz w:val="32"/>
          <w:szCs w:val="32"/>
          <w:lang w:eastAsia="zh-CN"/>
        </w:rPr>
        <w:t>上</w:t>
      </w:r>
      <w:r>
        <w:rPr>
          <w:rFonts w:hint="eastAsia" w:ascii="仿宋" w:hAnsi="仿宋" w:eastAsia="仿宋" w:cs="仿宋"/>
          <w:color w:val="auto"/>
          <w:sz w:val="32"/>
          <w:szCs w:val="32"/>
        </w:rPr>
        <w:t>年的</w:t>
      </w:r>
      <w:r>
        <w:rPr>
          <w:rFonts w:hint="eastAsia" w:ascii="仿宋" w:hAnsi="仿宋" w:eastAsia="仿宋" w:cs="仿宋"/>
          <w:color w:val="auto"/>
          <w:sz w:val="32"/>
          <w:szCs w:val="32"/>
          <w:lang w:val="en-US" w:eastAsia="zh-CN"/>
        </w:rPr>
        <w:t>66.7</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下落</w:t>
      </w:r>
      <w:r>
        <w:rPr>
          <w:rFonts w:hint="eastAsia" w:ascii="仿宋" w:hAnsi="仿宋" w:eastAsia="仿宋" w:cs="仿宋"/>
          <w:color w:val="auto"/>
          <w:sz w:val="32"/>
          <w:szCs w:val="32"/>
        </w:rPr>
        <w:t>了</w:t>
      </w:r>
      <w:r>
        <w:rPr>
          <w:rFonts w:hint="eastAsia" w:ascii="仿宋" w:hAnsi="仿宋" w:eastAsia="仿宋" w:cs="仿宋"/>
          <w:color w:val="auto"/>
          <w:sz w:val="32"/>
          <w:szCs w:val="32"/>
          <w:lang w:val="en-US" w:eastAsia="zh-CN"/>
        </w:rPr>
        <w:t>2.2</w:t>
      </w:r>
      <w:r>
        <w:rPr>
          <w:rFonts w:hint="eastAsia" w:ascii="仿宋" w:hAnsi="仿宋" w:eastAsia="仿宋" w:cs="仿宋"/>
          <w:color w:val="auto"/>
          <w:sz w:val="32"/>
          <w:szCs w:val="32"/>
        </w:rPr>
        <w:t>个百分点，</w:t>
      </w:r>
      <w:r>
        <w:rPr>
          <w:rFonts w:hint="eastAsia" w:ascii="仿宋" w:hAnsi="仿宋" w:eastAsia="仿宋" w:cs="仿宋"/>
          <w:color w:val="auto"/>
          <w:sz w:val="32"/>
          <w:szCs w:val="32"/>
          <w:lang w:eastAsia="zh-CN"/>
        </w:rPr>
        <w:t>仍</w:t>
      </w:r>
      <w:r>
        <w:rPr>
          <w:rFonts w:hint="eastAsia" w:ascii="仿宋" w:hAnsi="仿宋" w:eastAsia="仿宋" w:cs="仿宋"/>
          <w:color w:val="auto"/>
          <w:sz w:val="32"/>
          <w:szCs w:val="32"/>
        </w:rPr>
        <w:t>主导着朝阳区建筑业的</w:t>
      </w:r>
      <w:r>
        <w:rPr>
          <w:rFonts w:hint="eastAsia" w:ascii="仿宋" w:hAnsi="仿宋" w:eastAsia="仿宋" w:cs="仿宋"/>
          <w:color w:val="auto"/>
          <w:sz w:val="32"/>
          <w:szCs w:val="32"/>
          <w:lang w:eastAsia="zh-CN"/>
        </w:rPr>
        <w:t>经济</w:t>
      </w:r>
      <w:r>
        <w:rPr>
          <w:rFonts w:hint="eastAsia" w:ascii="仿宋" w:hAnsi="仿宋" w:eastAsia="仿宋" w:cs="仿宋"/>
          <w:color w:val="auto"/>
          <w:sz w:val="32"/>
          <w:szCs w:val="32"/>
        </w:rPr>
        <w:t>走向。安装工程产值</w:t>
      </w:r>
      <w:r>
        <w:rPr>
          <w:rFonts w:hint="eastAsia" w:ascii="仿宋" w:hAnsi="仿宋" w:eastAsia="仿宋" w:cs="仿宋"/>
          <w:color w:val="auto"/>
          <w:sz w:val="32"/>
          <w:szCs w:val="32"/>
          <w:lang w:eastAsia="zh-CN"/>
        </w:rPr>
        <w:t>完成</w:t>
      </w:r>
      <w:r>
        <w:rPr>
          <w:rFonts w:hint="eastAsia" w:ascii="仿宋" w:hAnsi="仿宋" w:eastAsia="仿宋" w:cs="仿宋"/>
          <w:color w:val="auto"/>
          <w:sz w:val="32"/>
          <w:szCs w:val="32"/>
          <w:lang w:val="en-US" w:eastAsia="zh-CN"/>
        </w:rPr>
        <w:t>25.1</w:t>
      </w:r>
      <w:r>
        <w:rPr>
          <w:rFonts w:hint="eastAsia" w:ascii="仿宋" w:hAnsi="仿宋" w:eastAsia="仿宋" w:cs="仿宋"/>
          <w:color w:val="auto"/>
          <w:sz w:val="32"/>
          <w:szCs w:val="32"/>
        </w:rPr>
        <w:t>亿元，同比</w:t>
      </w:r>
      <w:r>
        <w:rPr>
          <w:rFonts w:hint="eastAsia" w:ascii="仿宋" w:hAnsi="仿宋" w:eastAsia="仿宋" w:cs="仿宋"/>
          <w:color w:val="auto"/>
          <w:sz w:val="32"/>
          <w:szCs w:val="32"/>
          <w:lang w:val="en-US" w:eastAsia="zh-CN"/>
        </w:rPr>
        <w:t>增长1.3</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，占比首次突破</w:t>
      </w:r>
      <w:r>
        <w:rPr>
          <w:rFonts w:hint="eastAsia" w:ascii="仿宋" w:hAnsi="仿宋" w:eastAsia="仿宋" w:cs="仿宋"/>
          <w:color w:val="auto"/>
          <w:sz w:val="32"/>
          <w:szCs w:val="32"/>
          <w:lang w:val="en-US" w:eastAsia="zh-CN"/>
        </w:rPr>
        <w:t>26%</w:t>
      </w:r>
      <w:r>
        <w:rPr>
          <w:rFonts w:hint="eastAsia" w:ascii="仿宋" w:hAnsi="仿宋" w:eastAsia="仿宋" w:cs="仿宋"/>
          <w:color w:val="auto"/>
          <w:sz w:val="32"/>
          <w:szCs w:val="32"/>
        </w:rPr>
        <w:t>；其他产值</w:t>
      </w:r>
      <w:r>
        <w:rPr>
          <w:rFonts w:hint="eastAsia" w:ascii="仿宋" w:hAnsi="仿宋" w:eastAsia="仿宋" w:cs="仿宋"/>
          <w:color w:val="auto"/>
          <w:sz w:val="32"/>
          <w:szCs w:val="32"/>
          <w:lang w:eastAsia="zh-CN"/>
        </w:rPr>
        <w:t>完成</w:t>
      </w:r>
      <w:r>
        <w:rPr>
          <w:rFonts w:hint="eastAsia" w:ascii="仿宋" w:hAnsi="仿宋" w:eastAsia="仿宋" w:cs="仿宋"/>
          <w:color w:val="auto"/>
          <w:sz w:val="32"/>
          <w:szCs w:val="32"/>
          <w:lang w:val="en-US" w:eastAsia="zh-CN"/>
        </w:rPr>
        <w:t>8.6</w:t>
      </w:r>
      <w:r>
        <w:rPr>
          <w:rFonts w:hint="eastAsia" w:ascii="仿宋" w:hAnsi="仿宋" w:eastAsia="仿宋" w:cs="仿宋"/>
          <w:color w:val="auto"/>
          <w:sz w:val="32"/>
          <w:szCs w:val="32"/>
        </w:rPr>
        <w:t>亿元，同比</w:t>
      </w:r>
      <w:r>
        <w:rPr>
          <w:rFonts w:hint="eastAsia" w:ascii="仿宋" w:hAnsi="仿宋" w:eastAsia="仿宋" w:cs="仿宋"/>
          <w:color w:val="auto"/>
          <w:sz w:val="32"/>
          <w:szCs w:val="32"/>
          <w:lang w:eastAsia="zh-CN"/>
        </w:rPr>
        <w:t>下降</w:t>
      </w:r>
      <w:r>
        <w:rPr>
          <w:rFonts w:hint="eastAsia" w:ascii="仿宋" w:hAnsi="仿宋" w:eastAsia="仿宋" w:cs="仿宋"/>
          <w:color w:val="auto"/>
          <w:sz w:val="32"/>
          <w:szCs w:val="32"/>
          <w:lang w:val="en-US" w:eastAsia="zh-CN"/>
        </w:rPr>
        <w:t>4.3</w:t>
      </w:r>
      <w:r>
        <w:rPr>
          <w:rFonts w:hint="eastAsia" w:ascii="仿宋" w:hAnsi="仿宋" w:eastAsia="仿宋" w:cs="仿宋"/>
          <w:color w:val="auto"/>
          <w:sz w:val="32"/>
          <w:szCs w:val="32"/>
        </w:rPr>
        <w:t>%。详见下表：</w:t>
      </w:r>
    </w:p>
    <w:tbl>
      <w:tblPr>
        <w:tblStyle w:val="10"/>
        <w:tblW w:w="473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65"/>
        <w:gridCol w:w="2062"/>
        <w:gridCol w:w="1941"/>
        <w:gridCol w:w="1701"/>
      </w:tblGrid>
      <w:tr w14:paraId="173F7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 w:hRule="atLeast"/>
          <w:jc w:val="center"/>
        </w:trPr>
        <w:tc>
          <w:tcPr>
            <w:tcW w:w="5000" w:type="pct"/>
            <w:gridSpan w:val="4"/>
            <w:tcBorders>
              <w:top w:val="nil"/>
              <w:left w:val="nil"/>
              <w:bottom w:val="nil"/>
              <w:right w:val="nil"/>
            </w:tcBorders>
            <w:shd w:val="clear" w:color="auto" w:fill="auto"/>
            <w:noWrap/>
            <w:vAlign w:val="center"/>
          </w:tcPr>
          <w:p w14:paraId="6A9B690B">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ascii="黑体" w:hAnsi="宋体" w:eastAsia="黑体" w:cs="黑体"/>
                <w:b/>
                <w:bCs/>
                <w:i w:val="0"/>
                <w:iCs w:val="0"/>
                <w:color w:val="auto"/>
                <w:sz w:val="24"/>
                <w:szCs w:val="24"/>
                <w:u w:val="none"/>
              </w:rPr>
            </w:pPr>
            <w:r>
              <w:rPr>
                <w:rFonts w:hint="eastAsia" w:ascii="黑体" w:hAnsi="宋体" w:eastAsia="黑体" w:cs="黑体"/>
                <w:b w:val="0"/>
                <w:bCs w:val="0"/>
                <w:i w:val="0"/>
                <w:iCs w:val="0"/>
                <w:color w:val="auto"/>
                <w:kern w:val="0"/>
                <w:sz w:val="28"/>
                <w:szCs w:val="28"/>
                <w:u w:val="none"/>
                <w:lang w:val="en-US" w:eastAsia="zh-CN" w:bidi="ar"/>
              </w:rPr>
              <w:t xml:space="preserve">表1  </w:t>
            </w:r>
            <w:r>
              <w:rPr>
                <w:rFonts w:hint="eastAsia" w:ascii="黑体" w:hAnsi="宋体" w:eastAsia="黑体" w:cs="黑体"/>
                <w:b/>
                <w:bCs/>
                <w:i w:val="0"/>
                <w:iCs w:val="0"/>
                <w:color w:val="auto"/>
                <w:kern w:val="0"/>
                <w:sz w:val="28"/>
                <w:szCs w:val="28"/>
                <w:u w:val="none"/>
                <w:lang w:val="en-US" w:eastAsia="zh-CN" w:bidi="ar"/>
              </w:rPr>
              <w:t>建筑业1-4季度产值完成情况</w:t>
            </w:r>
          </w:p>
        </w:tc>
      </w:tr>
      <w:tr w14:paraId="41891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1794" w:type="pct"/>
            <w:tcBorders>
              <w:top w:val="single" w:color="000000" w:sz="4" w:space="0"/>
              <w:left w:val="nil"/>
              <w:bottom w:val="single" w:color="000000" w:sz="4" w:space="0"/>
              <w:right w:val="single" w:color="000000" w:sz="4" w:space="0"/>
            </w:tcBorders>
            <w:shd w:val="clear" w:color="auto" w:fill="auto"/>
            <w:noWrap/>
            <w:vAlign w:val="center"/>
          </w:tcPr>
          <w:p w14:paraId="1B628079">
            <w:pPr>
              <w:keepNext w:val="0"/>
              <w:keepLines w:val="0"/>
              <w:pageBreakBefore w:val="0"/>
              <w:widowControl w:val="0"/>
              <w:suppressLineNumbers w:val="0"/>
              <w:kinsoku/>
              <w:wordWrap/>
              <w:overflowPunct/>
              <w:topLinePunct w:val="0"/>
              <w:autoSpaceDE/>
              <w:autoSpaceDN/>
              <w:bidi w:val="0"/>
              <w:adjustRightInd/>
              <w:snapToGrid/>
              <w:spacing w:after="100" w:line="240" w:lineRule="auto"/>
              <w:jc w:val="center"/>
              <w:textAlignment w:val="center"/>
              <w:rPr>
                <w:rFonts w:hint="eastAsia" w:ascii="黑体" w:hAnsi="宋体" w:eastAsia="黑体" w:cs="黑体"/>
                <w:b/>
                <w:bCs/>
                <w:i w:val="0"/>
                <w:iCs w:val="0"/>
                <w:color w:val="auto"/>
                <w:sz w:val="24"/>
                <w:szCs w:val="24"/>
                <w:u w:val="none"/>
              </w:rPr>
            </w:pPr>
            <w:r>
              <w:rPr>
                <w:rFonts w:hint="eastAsia" w:ascii="黑体" w:hAnsi="宋体" w:eastAsia="黑体" w:cs="黑体"/>
                <w:b/>
                <w:bCs/>
                <w:i w:val="0"/>
                <w:iCs w:val="0"/>
                <w:color w:val="auto"/>
                <w:kern w:val="0"/>
                <w:sz w:val="24"/>
                <w:szCs w:val="24"/>
                <w:u w:val="none"/>
                <w:lang w:val="en-US" w:eastAsia="zh-CN" w:bidi="ar"/>
              </w:rPr>
              <w:t>产值类型</w:t>
            </w:r>
          </w:p>
        </w:tc>
        <w:tc>
          <w:tcPr>
            <w:tcW w:w="11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E9ED6">
            <w:pPr>
              <w:keepNext w:val="0"/>
              <w:keepLines w:val="0"/>
              <w:pageBreakBefore w:val="0"/>
              <w:widowControl w:val="0"/>
              <w:suppressLineNumbers w:val="0"/>
              <w:kinsoku/>
              <w:wordWrap/>
              <w:overflowPunct/>
              <w:topLinePunct w:val="0"/>
              <w:autoSpaceDE/>
              <w:autoSpaceDN/>
              <w:bidi w:val="0"/>
              <w:adjustRightInd/>
              <w:snapToGrid/>
              <w:spacing w:after="100" w:line="240" w:lineRule="auto"/>
              <w:jc w:val="center"/>
              <w:textAlignment w:val="bottom"/>
              <w:rPr>
                <w:rFonts w:hint="eastAsia" w:ascii="黑体" w:hAnsi="宋体" w:eastAsia="黑体" w:cs="黑体"/>
                <w:b/>
                <w:bCs/>
                <w:i w:val="0"/>
                <w:iCs w:val="0"/>
                <w:color w:val="auto"/>
                <w:sz w:val="24"/>
                <w:szCs w:val="24"/>
                <w:u w:val="none"/>
              </w:rPr>
            </w:pPr>
            <w:r>
              <w:rPr>
                <w:rFonts w:hint="eastAsia" w:ascii="黑体" w:hAnsi="宋体" w:eastAsia="黑体" w:cs="黑体"/>
                <w:b/>
                <w:bCs/>
                <w:i w:val="0"/>
                <w:iCs w:val="0"/>
                <w:color w:val="auto"/>
                <w:kern w:val="0"/>
                <w:sz w:val="24"/>
                <w:szCs w:val="24"/>
                <w:u w:val="none"/>
                <w:lang w:val="en-US" w:eastAsia="zh-CN" w:bidi="ar"/>
              </w:rPr>
              <w:t>产值(亿元)</w:t>
            </w:r>
          </w:p>
        </w:tc>
        <w:tc>
          <w:tcPr>
            <w:tcW w:w="10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BA067">
            <w:pPr>
              <w:keepNext w:val="0"/>
              <w:keepLines w:val="0"/>
              <w:pageBreakBefore w:val="0"/>
              <w:widowControl w:val="0"/>
              <w:suppressLineNumbers w:val="0"/>
              <w:kinsoku/>
              <w:wordWrap/>
              <w:overflowPunct/>
              <w:topLinePunct w:val="0"/>
              <w:autoSpaceDE/>
              <w:autoSpaceDN/>
              <w:bidi w:val="0"/>
              <w:adjustRightInd/>
              <w:snapToGrid/>
              <w:spacing w:after="100" w:line="240" w:lineRule="auto"/>
              <w:jc w:val="center"/>
              <w:textAlignment w:val="center"/>
              <w:rPr>
                <w:rFonts w:hint="eastAsia" w:ascii="黑体" w:hAnsi="宋体" w:eastAsia="黑体" w:cs="黑体"/>
                <w:b/>
                <w:bCs/>
                <w:i w:val="0"/>
                <w:iCs w:val="0"/>
                <w:color w:val="auto"/>
                <w:sz w:val="24"/>
                <w:szCs w:val="24"/>
                <w:u w:val="none"/>
              </w:rPr>
            </w:pPr>
            <w:r>
              <w:rPr>
                <w:rFonts w:hint="eastAsia" w:ascii="黑体" w:hAnsi="宋体" w:eastAsia="黑体" w:cs="黑体"/>
                <w:b/>
                <w:bCs/>
                <w:i w:val="0"/>
                <w:iCs w:val="0"/>
                <w:color w:val="auto"/>
                <w:kern w:val="0"/>
                <w:sz w:val="24"/>
                <w:szCs w:val="24"/>
                <w:u w:val="none"/>
                <w:lang w:val="en-US" w:eastAsia="zh-CN" w:bidi="ar"/>
              </w:rPr>
              <w:t>同比（%）</w:t>
            </w:r>
          </w:p>
        </w:tc>
        <w:tc>
          <w:tcPr>
            <w:tcW w:w="922" w:type="pct"/>
            <w:tcBorders>
              <w:top w:val="single" w:color="000000" w:sz="4" w:space="0"/>
              <w:left w:val="single" w:color="000000" w:sz="4" w:space="0"/>
              <w:bottom w:val="single" w:color="000000" w:sz="4" w:space="0"/>
              <w:right w:val="nil"/>
            </w:tcBorders>
            <w:shd w:val="clear" w:color="auto" w:fill="auto"/>
            <w:noWrap/>
            <w:vAlign w:val="center"/>
          </w:tcPr>
          <w:p w14:paraId="031A57F9">
            <w:pPr>
              <w:keepNext w:val="0"/>
              <w:keepLines w:val="0"/>
              <w:pageBreakBefore w:val="0"/>
              <w:widowControl w:val="0"/>
              <w:suppressLineNumbers w:val="0"/>
              <w:kinsoku/>
              <w:wordWrap/>
              <w:overflowPunct/>
              <w:topLinePunct w:val="0"/>
              <w:autoSpaceDE/>
              <w:autoSpaceDN/>
              <w:bidi w:val="0"/>
              <w:adjustRightInd/>
              <w:snapToGrid/>
              <w:spacing w:after="100" w:line="240" w:lineRule="auto"/>
              <w:jc w:val="center"/>
              <w:textAlignment w:val="center"/>
              <w:rPr>
                <w:rFonts w:hint="eastAsia" w:ascii="黑体" w:hAnsi="宋体" w:eastAsia="黑体" w:cs="黑体"/>
                <w:b/>
                <w:bCs/>
                <w:i w:val="0"/>
                <w:iCs w:val="0"/>
                <w:color w:val="auto"/>
                <w:sz w:val="24"/>
                <w:szCs w:val="24"/>
                <w:u w:val="none"/>
              </w:rPr>
            </w:pPr>
            <w:r>
              <w:rPr>
                <w:rFonts w:hint="eastAsia" w:ascii="黑体" w:hAnsi="宋体" w:eastAsia="黑体" w:cs="黑体"/>
                <w:b/>
                <w:bCs/>
                <w:i w:val="0"/>
                <w:iCs w:val="0"/>
                <w:color w:val="auto"/>
                <w:kern w:val="0"/>
                <w:sz w:val="24"/>
                <w:szCs w:val="24"/>
                <w:u w:val="none"/>
                <w:lang w:val="en-US" w:eastAsia="zh-CN" w:bidi="ar"/>
              </w:rPr>
              <w:t>占比(%)</w:t>
            </w:r>
          </w:p>
        </w:tc>
      </w:tr>
      <w:tr w14:paraId="5781A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1794" w:type="pct"/>
            <w:tcBorders>
              <w:top w:val="single" w:color="000000" w:sz="4" w:space="0"/>
              <w:left w:val="nil"/>
              <w:bottom w:val="single" w:color="000000" w:sz="4" w:space="0"/>
              <w:right w:val="single" w:color="000000" w:sz="4" w:space="0"/>
            </w:tcBorders>
            <w:shd w:val="clear" w:color="auto" w:fill="auto"/>
            <w:noWrap/>
            <w:vAlign w:val="center"/>
          </w:tcPr>
          <w:p w14:paraId="03C88091">
            <w:pPr>
              <w:keepNext w:val="0"/>
              <w:keepLines w:val="0"/>
              <w:pageBreakBefore w:val="0"/>
              <w:widowControl w:val="0"/>
              <w:kinsoku/>
              <w:wordWrap/>
              <w:overflowPunct/>
              <w:topLinePunct w:val="0"/>
              <w:autoSpaceDE/>
              <w:autoSpaceDN/>
              <w:bidi w:val="0"/>
              <w:adjustRightInd/>
              <w:snapToGrid/>
              <w:spacing w:after="100" w:line="240" w:lineRule="auto"/>
              <w:jc w:val="center"/>
              <w:rPr>
                <w:rFonts w:hint="eastAsia"/>
                <w:color w:val="auto"/>
                <w:sz w:val="22"/>
                <w:szCs w:val="22"/>
              </w:rPr>
            </w:pPr>
            <w:r>
              <w:rPr>
                <w:rFonts w:hint="eastAsia"/>
                <w:b/>
                <w:bCs/>
                <w:color w:val="auto"/>
                <w:sz w:val="22"/>
                <w:szCs w:val="22"/>
                <w:lang w:val="en-US" w:eastAsia="zh-CN"/>
              </w:rPr>
              <w:t>总</w:t>
            </w:r>
            <w:r>
              <w:rPr>
                <w:b/>
                <w:bCs/>
                <w:color w:val="auto"/>
                <w:sz w:val="22"/>
                <w:szCs w:val="22"/>
                <w:lang w:val="en-US" w:eastAsia="zh-CN"/>
              </w:rPr>
              <w:t xml:space="preserve"> 产 值</w:t>
            </w:r>
          </w:p>
        </w:tc>
        <w:tc>
          <w:tcPr>
            <w:tcW w:w="11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41F680">
            <w:pPr>
              <w:keepNext w:val="0"/>
              <w:keepLines w:val="0"/>
              <w:pageBreakBefore w:val="0"/>
              <w:widowControl w:val="0"/>
              <w:kinsoku/>
              <w:wordWrap/>
              <w:overflowPunct/>
              <w:topLinePunct w:val="0"/>
              <w:autoSpaceDE/>
              <w:autoSpaceDN/>
              <w:bidi w:val="0"/>
              <w:adjustRightInd/>
              <w:snapToGrid/>
              <w:spacing w:after="100" w:line="240" w:lineRule="auto"/>
              <w:jc w:val="center"/>
              <w:rPr>
                <w:rFonts w:hint="default" w:eastAsia="仿宋_GB2312"/>
                <w:color w:val="auto"/>
                <w:sz w:val="22"/>
                <w:szCs w:val="22"/>
                <w:lang w:val="en-US" w:eastAsia="zh-CN"/>
              </w:rPr>
            </w:pPr>
            <w:r>
              <w:rPr>
                <w:rFonts w:hint="eastAsia"/>
                <w:color w:val="auto"/>
                <w:sz w:val="22"/>
                <w:szCs w:val="22"/>
                <w:lang w:val="en-US" w:eastAsia="zh-CN"/>
              </w:rPr>
              <w:t>94.8</w:t>
            </w:r>
          </w:p>
        </w:tc>
        <w:tc>
          <w:tcPr>
            <w:tcW w:w="10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95FD86">
            <w:pPr>
              <w:keepNext w:val="0"/>
              <w:keepLines w:val="0"/>
              <w:pageBreakBefore w:val="0"/>
              <w:widowControl w:val="0"/>
              <w:kinsoku/>
              <w:wordWrap/>
              <w:overflowPunct/>
              <w:topLinePunct w:val="0"/>
              <w:autoSpaceDE/>
              <w:autoSpaceDN/>
              <w:bidi w:val="0"/>
              <w:adjustRightInd/>
              <w:snapToGrid/>
              <w:spacing w:after="100" w:line="240" w:lineRule="auto"/>
              <w:jc w:val="center"/>
              <w:rPr>
                <w:rFonts w:hint="default" w:eastAsia="仿宋_GB2312"/>
                <w:color w:val="auto"/>
                <w:sz w:val="22"/>
                <w:szCs w:val="22"/>
                <w:lang w:val="en-US" w:eastAsia="zh-CN"/>
              </w:rPr>
            </w:pPr>
            <w:r>
              <w:rPr>
                <w:rFonts w:hint="eastAsia"/>
                <w:color w:val="auto"/>
                <w:sz w:val="22"/>
                <w:szCs w:val="22"/>
                <w:lang w:val="en-US" w:eastAsia="zh-CN"/>
              </w:rPr>
              <w:t>-6.3</w:t>
            </w:r>
          </w:p>
        </w:tc>
        <w:tc>
          <w:tcPr>
            <w:tcW w:w="922" w:type="pct"/>
            <w:tcBorders>
              <w:top w:val="single" w:color="000000" w:sz="4" w:space="0"/>
              <w:left w:val="single" w:color="000000" w:sz="4" w:space="0"/>
              <w:bottom w:val="single" w:color="000000" w:sz="4" w:space="0"/>
              <w:right w:val="nil"/>
            </w:tcBorders>
            <w:shd w:val="clear" w:color="auto" w:fill="auto"/>
            <w:noWrap/>
            <w:vAlign w:val="bottom"/>
          </w:tcPr>
          <w:p w14:paraId="3B625921">
            <w:pPr>
              <w:keepNext w:val="0"/>
              <w:keepLines w:val="0"/>
              <w:pageBreakBefore w:val="0"/>
              <w:widowControl w:val="0"/>
              <w:kinsoku/>
              <w:wordWrap/>
              <w:overflowPunct/>
              <w:topLinePunct w:val="0"/>
              <w:autoSpaceDE/>
              <w:autoSpaceDN/>
              <w:bidi w:val="0"/>
              <w:adjustRightInd/>
              <w:snapToGrid/>
              <w:spacing w:after="100" w:line="240" w:lineRule="auto"/>
              <w:jc w:val="center"/>
              <w:rPr>
                <w:rFonts w:hint="default" w:eastAsia="宋体"/>
                <w:color w:val="auto"/>
                <w:sz w:val="22"/>
                <w:szCs w:val="22"/>
                <w:lang w:val="en-US" w:eastAsia="zh-CN"/>
              </w:rPr>
            </w:pPr>
            <w:r>
              <w:rPr>
                <w:rFonts w:hint="eastAsia" w:eastAsia="宋体"/>
                <w:color w:val="auto"/>
                <w:sz w:val="22"/>
                <w:szCs w:val="22"/>
                <w:lang w:val="en-US" w:eastAsia="zh-CN"/>
              </w:rPr>
              <w:t>—</w:t>
            </w:r>
          </w:p>
        </w:tc>
      </w:tr>
      <w:tr w14:paraId="3DC3B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1794" w:type="pct"/>
            <w:tcBorders>
              <w:top w:val="single" w:color="000000" w:sz="4" w:space="0"/>
              <w:left w:val="nil"/>
              <w:bottom w:val="single" w:color="000000" w:sz="4" w:space="0"/>
              <w:right w:val="single" w:color="000000" w:sz="4" w:space="0"/>
            </w:tcBorders>
            <w:shd w:val="clear" w:color="auto" w:fill="auto"/>
            <w:noWrap/>
            <w:vAlign w:val="center"/>
          </w:tcPr>
          <w:p w14:paraId="37DD3F0A">
            <w:pPr>
              <w:keepNext w:val="0"/>
              <w:keepLines w:val="0"/>
              <w:pageBreakBefore w:val="0"/>
              <w:widowControl w:val="0"/>
              <w:kinsoku/>
              <w:wordWrap/>
              <w:overflowPunct/>
              <w:topLinePunct w:val="0"/>
              <w:autoSpaceDE/>
              <w:autoSpaceDN/>
              <w:bidi w:val="0"/>
              <w:adjustRightInd/>
              <w:snapToGrid/>
              <w:spacing w:after="100" w:line="240" w:lineRule="auto"/>
              <w:jc w:val="center"/>
              <w:rPr>
                <w:rFonts w:hint="eastAsia"/>
                <w:b/>
                <w:bCs/>
                <w:color w:val="auto"/>
                <w:sz w:val="22"/>
                <w:szCs w:val="22"/>
              </w:rPr>
            </w:pPr>
            <w:r>
              <w:rPr>
                <w:rFonts w:hint="eastAsia"/>
                <w:b/>
                <w:bCs/>
                <w:color w:val="auto"/>
                <w:sz w:val="22"/>
                <w:szCs w:val="22"/>
                <w:lang w:val="en-US" w:eastAsia="zh-CN"/>
              </w:rPr>
              <w:t>建筑工程产值</w:t>
            </w:r>
          </w:p>
        </w:tc>
        <w:tc>
          <w:tcPr>
            <w:tcW w:w="11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B85E37">
            <w:pPr>
              <w:keepNext w:val="0"/>
              <w:keepLines w:val="0"/>
              <w:pageBreakBefore w:val="0"/>
              <w:widowControl w:val="0"/>
              <w:kinsoku/>
              <w:wordWrap/>
              <w:overflowPunct/>
              <w:topLinePunct w:val="0"/>
              <w:autoSpaceDE/>
              <w:autoSpaceDN/>
              <w:bidi w:val="0"/>
              <w:adjustRightInd/>
              <w:snapToGrid/>
              <w:spacing w:after="100" w:line="240" w:lineRule="auto"/>
              <w:jc w:val="center"/>
              <w:rPr>
                <w:rFonts w:hint="default"/>
                <w:color w:val="auto"/>
                <w:sz w:val="22"/>
                <w:szCs w:val="22"/>
                <w:lang w:val="en-US"/>
              </w:rPr>
            </w:pPr>
            <w:r>
              <w:rPr>
                <w:rFonts w:hint="eastAsia"/>
                <w:color w:val="auto"/>
                <w:sz w:val="22"/>
                <w:szCs w:val="22"/>
                <w:lang w:val="en-US" w:eastAsia="zh-CN"/>
              </w:rPr>
              <w:t>61.2</w:t>
            </w:r>
          </w:p>
        </w:tc>
        <w:tc>
          <w:tcPr>
            <w:tcW w:w="10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C3AE97">
            <w:pPr>
              <w:keepNext w:val="0"/>
              <w:keepLines w:val="0"/>
              <w:pageBreakBefore w:val="0"/>
              <w:widowControl w:val="0"/>
              <w:kinsoku/>
              <w:wordWrap/>
              <w:overflowPunct/>
              <w:topLinePunct w:val="0"/>
              <w:autoSpaceDE/>
              <w:autoSpaceDN/>
              <w:bidi w:val="0"/>
              <w:adjustRightInd/>
              <w:snapToGrid/>
              <w:spacing w:after="100" w:line="240" w:lineRule="auto"/>
              <w:jc w:val="center"/>
              <w:rPr>
                <w:rFonts w:hint="default"/>
                <w:color w:val="auto"/>
                <w:sz w:val="22"/>
                <w:szCs w:val="22"/>
                <w:lang w:val="en-US"/>
              </w:rPr>
            </w:pPr>
            <w:r>
              <w:rPr>
                <w:rFonts w:hint="eastAsia"/>
                <w:color w:val="auto"/>
                <w:sz w:val="22"/>
                <w:szCs w:val="22"/>
                <w:lang w:val="en-US" w:eastAsia="zh-CN"/>
              </w:rPr>
              <w:t>-9.4</w:t>
            </w:r>
          </w:p>
        </w:tc>
        <w:tc>
          <w:tcPr>
            <w:tcW w:w="922" w:type="pct"/>
            <w:tcBorders>
              <w:top w:val="single" w:color="000000" w:sz="4" w:space="0"/>
              <w:left w:val="single" w:color="000000" w:sz="4" w:space="0"/>
              <w:bottom w:val="single" w:color="000000" w:sz="4" w:space="0"/>
              <w:right w:val="nil"/>
            </w:tcBorders>
            <w:shd w:val="clear" w:color="auto" w:fill="auto"/>
            <w:noWrap/>
            <w:vAlign w:val="bottom"/>
          </w:tcPr>
          <w:p w14:paraId="3ADC6E34">
            <w:pPr>
              <w:keepNext w:val="0"/>
              <w:keepLines w:val="0"/>
              <w:pageBreakBefore w:val="0"/>
              <w:widowControl w:val="0"/>
              <w:kinsoku/>
              <w:wordWrap/>
              <w:overflowPunct/>
              <w:topLinePunct w:val="0"/>
              <w:autoSpaceDE/>
              <w:autoSpaceDN/>
              <w:bidi w:val="0"/>
              <w:adjustRightInd/>
              <w:snapToGrid/>
              <w:spacing w:after="100" w:line="240" w:lineRule="auto"/>
              <w:jc w:val="center"/>
              <w:rPr>
                <w:rFonts w:hint="default" w:eastAsia="仿宋_GB2312"/>
                <w:color w:val="auto"/>
                <w:sz w:val="22"/>
                <w:szCs w:val="22"/>
                <w:lang w:val="en-US" w:eastAsia="zh-CN"/>
              </w:rPr>
            </w:pPr>
            <w:r>
              <w:rPr>
                <w:rFonts w:hint="eastAsia"/>
                <w:color w:val="auto"/>
                <w:sz w:val="22"/>
                <w:szCs w:val="22"/>
                <w:lang w:val="en-US" w:eastAsia="zh-CN"/>
              </w:rPr>
              <w:t>64.5</w:t>
            </w:r>
          </w:p>
        </w:tc>
      </w:tr>
      <w:tr w14:paraId="25807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1794" w:type="pct"/>
            <w:tcBorders>
              <w:top w:val="single" w:color="000000" w:sz="4" w:space="0"/>
              <w:left w:val="nil"/>
              <w:bottom w:val="single" w:color="000000" w:sz="4" w:space="0"/>
              <w:right w:val="single" w:color="000000" w:sz="4" w:space="0"/>
            </w:tcBorders>
            <w:shd w:val="clear" w:color="auto" w:fill="auto"/>
            <w:noWrap/>
            <w:vAlign w:val="center"/>
          </w:tcPr>
          <w:p w14:paraId="05132D90">
            <w:pPr>
              <w:keepNext w:val="0"/>
              <w:keepLines w:val="0"/>
              <w:pageBreakBefore w:val="0"/>
              <w:widowControl w:val="0"/>
              <w:kinsoku/>
              <w:wordWrap/>
              <w:overflowPunct/>
              <w:topLinePunct w:val="0"/>
              <w:autoSpaceDE/>
              <w:autoSpaceDN/>
              <w:bidi w:val="0"/>
              <w:adjustRightInd/>
              <w:snapToGrid/>
              <w:spacing w:after="100" w:line="240" w:lineRule="auto"/>
              <w:jc w:val="center"/>
              <w:rPr>
                <w:rFonts w:hint="eastAsia"/>
                <w:b/>
                <w:bCs/>
                <w:color w:val="auto"/>
                <w:sz w:val="22"/>
                <w:szCs w:val="22"/>
              </w:rPr>
            </w:pPr>
            <w:r>
              <w:rPr>
                <w:rFonts w:hint="eastAsia"/>
                <w:b/>
                <w:bCs/>
                <w:color w:val="auto"/>
                <w:sz w:val="22"/>
                <w:szCs w:val="22"/>
                <w:lang w:val="en-US" w:eastAsia="zh-CN"/>
              </w:rPr>
              <w:t>安装工程产值</w:t>
            </w:r>
          </w:p>
        </w:tc>
        <w:tc>
          <w:tcPr>
            <w:tcW w:w="11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5C09BC">
            <w:pPr>
              <w:keepNext w:val="0"/>
              <w:keepLines w:val="0"/>
              <w:pageBreakBefore w:val="0"/>
              <w:widowControl w:val="0"/>
              <w:kinsoku/>
              <w:wordWrap/>
              <w:overflowPunct/>
              <w:topLinePunct w:val="0"/>
              <w:autoSpaceDE/>
              <w:autoSpaceDN/>
              <w:bidi w:val="0"/>
              <w:adjustRightInd/>
              <w:snapToGrid/>
              <w:spacing w:after="100" w:line="240" w:lineRule="auto"/>
              <w:jc w:val="center"/>
              <w:rPr>
                <w:rFonts w:hint="default"/>
                <w:color w:val="auto"/>
                <w:sz w:val="22"/>
                <w:szCs w:val="22"/>
                <w:lang w:val="en-US"/>
              </w:rPr>
            </w:pPr>
            <w:r>
              <w:rPr>
                <w:rFonts w:hint="eastAsia"/>
                <w:color w:val="auto"/>
                <w:sz w:val="22"/>
                <w:szCs w:val="22"/>
                <w:lang w:val="en-US" w:eastAsia="zh-CN"/>
              </w:rPr>
              <w:t>25.1</w:t>
            </w:r>
          </w:p>
        </w:tc>
        <w:tc>
          <w:tcPr>
            <w:tcW w:w="10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9B7DE2">
            <w:pPr>
              <w:keepNext w:val="0"/>
              <w:keepLines w:val="0"/>
              <w:pageBreakBefore w:val="0"/>
              <w:widowControl w:val="0"/>
              <w:kinsoku/>
              <w:wordWrap/>
              <w:overflowPunct/>
              <w:topLinePunct w:val="0"/>
              <w:autoSpaceDE/>
              <w:autoSpaceDN/>
              <w:bidi w:val="0"/>
              <w:adjustRightInd/>
              <w:snapToGrid/>
              <w:spacing w:after="100" w:line="240" w:lineRule="auto"/>
              <w:jc w:val="center"/>
              <w:rPr>
                <w:rFonts w:hint="default"/>
                <w:color w:val="auto"/>
                <w:sz w:val="22"/>
                <w:szCs w:val="22"/>
                <w:lang w:val="en-US"/>
              </w:rPr>
            </w:pPr>
            <w:r>
              <w:rPr>
                <w:rFonts w:hint="eastAsia"/>
                <w:color w:val="auto"/>
                <w:sz w:val="22"/>
                <w:szCs w:val="22"/>
                <w:lang w:val="en-US" w:eastAsia="zh-CN"/>
              </w:rPr>
              <w:t>1.3</w:t>
            </w:r>
          </w:p>
        </w:tc>
        <w:tc>
          <w:tcPr>
            <w:tcW w:w="922" w:type="pct"/>
            <w:tcBorders>
              <w:top w:val="single" w:color="000000" w:sz="4" w:space="0"/>
              <w:left w:val="single" w:color="000000" w:sz="4" w:space="0"/>
              <w:bottom w:val="single" w:color="000000" w:sz="4" w:space="0"/>
              <w:right w:val="nil"/>
            </w:tcBorders>
            <w:shd w:val="clear" w:color="auto" w:fill="auto"/>
            <w:noWrap/>
            <w:vAlign w:val="bottom"/>
          </w:tcPr>
          <w:p w14:paraId="723B506E">
            <w:pPr>
              <w:keepNext w:val="0"/>
              <w:keepLines w:val="0"/>
              <w:pageBreakBefore w:val="0"/>
              <w:widowControl w:val="0"/>
              <w:kinsoku/>
              <w:wordWrap/>
              <w:overflowPunct/>
              <w:topLinePunct w:val="0"/>
              <w:autoSpaceDE/>
              <w:autoSpaceDN/>
              <w:bidi w:val="0"/>
              <w:adjustRightInd/>
              <w:snapToGrid/>
              <w:spacing w:after="100" w:line="240" w:lineRule="auto"/>
              <w:jc w:val="center"/>
              <w:rPr>
                <w:rFonts w:hint="default" w:eastAsia="仿宋_GB2312"/>
                <w:color w:val="auto"/>
                <w:sz w:val="22"/>
                <w:szCs w:val="22"/>
                <w:lang w:val="en-US" w:eastAsia="zh-CN"/>
              </w:rPr>
            </w:pPr>
            <w:r>
              <w:rPr>
                <w:rFonts w:hint="eastAsia"/>
                <w:color w:val="auto"/>
                <w:sz w:val="22"/>
                <w:szCs w:val="22"/>
                <w:lang w:val="en-US" w:eastAsia="zh-CN"/>
              </w:rPr>
              <w:t>26.4</w:t>
            </w:r>
          </w:p>
        </w:tc>
      </w:tr>
      <w:tr w14:paraId="1D12C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jc w:val="center"/>
        </w:trPr>
        <w:tc>
          <w:tcPr>
            <w:tcW w:w="1794" w:type="pct"/>
            <w:tcBorders>
              <w:top w:val="single" w:color="000000" w:sz="4" w:space="0"/>
              <w:left w:val="nil"/>
              <w:bottom w:val="single" w:color="000000" w:sz="4" w:space="0"/>
              <w:right w:val="single" w:color="000000" w:sz="4" w:space="0"/>
            </w:tcBorders>
            <w:shd w:val="clear" w:color="auto" w:fill="auto"/>
            <w:noWrap/>
            <w:vAlign w:val="center"/>
          </w:tcPr>
          <w:p w14:paraId="07901308">
            <w:pPr>
              <w:keepNext w:val="0"/>
              <w:keepLines w:val="0"/>
              <w:pageBreakBefore w:val="0"/>
              <w:widowControl w:val="0"/>
              <w:kinsoku/>
              <w:wordWrap/>
              <w:overflowPunct/>
              <w:topLinePunct w:val="0"/>
              <w:autoSpaceDE/>
              <w:autoSpaceDN/>
              <w:bidi w:val="0"/>
              <w:adjustRightInd/>
              <w:snapToGrid/>
              <w:spacing w:after="100" w:line="240" w:lineRule="auto"/>
              <w:jc w:val="center"/>
              <w:rPr>
                <w:rFonts w:hint="eastAsia"/>
                <w:b/>
                <w:bCs/>
                <w:color w:val="auto"/>
                <w:sz w:val="22"/>
                <w:szCs w:val="22"/>
              </w:rPr>
            </w:pPr>
            <w:r>
              <w:rPr>
                <w:rFonts w:hint="eastAsia"/>
                <w:b/>
                <w:bCs/>
                <w:color w:val="auto"/>
                <w:sz w:val="22"/>
                <w:szCs w:val="22"/>
                <w:lang w:val="en-US" w:eastAsia="zh-CN"/>
              </w:rPr>
              <w:t>其他产值</w:t>
            </w:r>
          </w:p>
        </w:tc>
        <w:tc>
          <w:tcPr>
            <w:tcW w:w="119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B2E2FD">
            <w:pPr>
              <w:keepNext w:val="0"/>
              <w:keepLines w:val="0"/>
              <w:pageBreakBefore w:val="0"/>
              <w:widowControl w:val="0"/>
              <w:kinsoku/>
              <w:wordWrap/>
              <w:overflowPunct/>
              <w:topLinePunct w:val="0"/>
              <w:autoSpaceDE/>
              <w:autoSpaceDN/>
              <w:bidi w:val="0"/>
              <w:adjustRightInd/>
              <w:snapToGrid/>
              <w:spacing w:after="100" w:line="240" w:lineRule="auto"/>
              <w:jc w:val="center"/>
              <w:rPr>
                <w:rFonts w:hint="default"/>
                <w:color w:val="auto"/>
                <w:sz w:val="22"/>
                <w:szCs w:val="22"/>
                <w:lang w:val="en-US"/>
              </w:rPr>
            </w:pPr>
            <w:r>
              <w:rPr>
                <w:rFonts w:hint="eastAsia"/>
                <w:color w:val="auto"/>
                <w:sz w:val="22"/>
                <w:szCs w:val="22"/>
                <w:lang w:val="en-US" w:eastAsia="zh-CN"/>
              </w:rPr>
              <w:t>8.6</w:t>
            </w:r>
          </w:p>
        </w:tc>
        <w:tc>
          <w:tcPr>
            <w:tcW w:w="10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523FC9">
            <w:pPr>
              <w:keepNext w:val="0"/>
              <w:keepLines w:val="0"/>
              <w:pageBreakBefore w:val="0"/>
              <w:widowControl w:val="0"/>
              <w:kinsoku/>
              <w:wordWrap/>
              <w:overflowPunct/>
              <w:topLinePunct w:val="0"/>
              <w:autoSpaceDE/>
              <w:autoSpaceDN/>
              <w:bidi w:val="0"/>
              <w:adjustRightInd/>
              <w:snapToGrid/>
              <w:spacing w:after="100" w:line="240" w:lineRule="auto"/>
              <w:jc w:val="center"/>
              <w:rPr>
                <w:rFonts w:hint="default"/>
                <w:color w:val="auto"/>
                <w:sz w:val="22"/>
                <w:szCs w:val="22"/>
                <w:lang w:val="en-US"/>
              </w:rPr>
            </w:pPr>
            <w:r>
              <w:rPr>
                <w:rFonts w:hint="default"/>
                <w:color w:val="auto"/>
                <w:sz w:val="22"/>
                <w:szCs w:val="22"/>
                <w:lang w:val="en-US" w:eastAsia="zh-CN"/>
              </w:rPr>
              <w:t>-</w:t>
            </w:r>
            <w:r>
              <w:rPr>
                <w:rFonts w:hint="eastAsia"/>
                <w:color w:val="auto"/>
                <w:sz w:val="22"/>
                <w:szCs w:val="22"/>
                <w:lang w:val="en-US" w:eastAsia="zh-CN"/>
              </w:rPr>
              <w:t>4.3</w:t>
            </w:r>
          </w:p>
        </w:tc>
        <w:tc>
          <w:tcPr>
            <w:tcW w:w="922" w:type="pct"/>
            <w:tcBorders>
              <w:top w:val="single" w:color="000000" w:sz="4" w:space="0"/>
              <w:left w:val="single" w:color="000000" w:sz="4" w:space="0"/>
              <w:bottom w:val="single" w:color="000000" w:sz="4" w:space="0"/>
              <w:right w:val="nil"/>
            </w:tcBorders>
            <w:shd w:val="clear" w:color="auto" w:fill="auto"/>
            <w:noWrap/>
            <w:vAlign w:val="bottom"/>
          </w:tcPr>
          <w:p w14:paraId="2B5468C4">
            <w:pPr>
              <w:keepNext w:val="0"/>
              <w:keepLines w:val="0"/>
              <w:pageBreakBefore w:val="0"/>
              <w:widowControl w:val="0"/>
              <w:kinsoku/>
              <w:wordWrap/>
              <w:overflowPunct/>
              <w:topLinePunct w:val="0"/>
              <w:autoSpaceDE/>
              <w:autoSpaceDN/>
              <w:bidi w:val="0"/>
              <w:adjustRightInd/>
              <w:snapToGrid/>
              <w:spacing w:after="100" w:line="240" w:lineRule="auto"/>
              <w:jc w:val="center"/>
              <w:rPr>
                <w:rFonts w:hint="default" w:eastAsia="仿宋_GB2312"/>
                <w:color w:val="auto"/>
                <w:sz w:val="22"/>
                <w:szCs w:val="22"/>
                <w:lang w:val="en-US" w:eastAsia="zh-CN"/>
              </w:rPr>
            </w:pPr>
            <w:r>
              <w:rPr>
                <w:rFonts w:hint="eastAsia"/>
                <w:color w:val="auto"/>
                <w:sz w:val="22"/>
                <w:szCs w:val="22"/>
                <w:lang w:val="en-US" w:eastAsia="zh-CN"/>
              </w:rPr>
              <w:t>9.1</w:t>
            </w:r>
          </w:p>
        </w:tc>
      </w:tr>
    </w:tbl>
    <w:p w14:paraId="40CD667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rPr>
          <w:rFonts w:hint="eastAsia" w:ascii="宋体" w:hAnsi="宋体" w:eastAsia="宋体" w:cs="宋体"/>
          <w:b/>
          <w:bCs/>
          <w:color w:val="000000" w:themeColor="text1"/>
          <w:sz w:val="28"/>
          <w:szCs w:val="28"/>
          <w:lang w:val="en-US" w:eastAsia="zh-CN"/>
          <w14:textFill>
            <w14:solidFill>
              <w14:schemeClr w14:val="tx1"/>
            </w14:solidFill>
          </w14:textFill>
        </w:rPr>
      </w:pPr>
    </w:p>
    <w:p w14:paraId="715CFB50">
      <w:pPr>
        <w:keepNext w:val="0"/>
        <w:keepLines w:val="0"/>
        <w:pageBreakBefore w:val="0"/>
        <w:widowControl w:val="0"/>
        <w:kinsoku/>
        <w:wordWrap/>
        <w:overflowPunct/>
        <w:topLinePunct w:val="0"/>
        <w:autoSpaceDE/>
        <w:autoSpaceDN/>
        <w:bidi w:val="0"/>
        <w:adjustRightInd/>
        <w:snapToGrid/>
        <w:spacing w:line="360" w:lineRule="auto"/>
        <w:jc w:val="center"/>
        <w:rPr>
          <w:rFonts w:ascii="仿宋" w:hAnsi="仿宋" w:eastAsia="仿宋"/>
          <w:color w:val="000000" w:themeColor="text1"/>
          <w:szCs w:val="32"/>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2023年</w:t>
      </w:r>
      <w:r>
        <w:rPr>
          <w:rFonts w:hint="eastAsia" w:ascii="宋体" w:hAnsi="宋体" w:eastAsia="宋体" w:cs="宋体"/>
          <w:b/>
          <w:bCs/>
          <w:color w:val="000000" w:themeColor="text1"/>
          <w:sz w:val="28"/>
          <w:szCs w:val="28"/>
          <w14:textFill>
            <w14:solidFill>
              <w14:schemeClr w14:val="tx1"/>
            </w14:solidFill>
          </w14:textFill>
        </w:rPr>
        <w:t>1-4季度建筑业总产值完成情况</w:t>
      </w:r>
    </w:p>
    <w:p w14:paraId="0558FBD1">
      <w:pPr>
        <w:pStyle w:val="2"/>
        <w:keepNext w:val="0"/>
        <w:keepLines w:val="0"/>
        <w:pageBreakBefore w:val="0"/>
        <w:widowControl w:val="0"/>
        <w:kinsoku/>
        <w:wordWrap/>
        <w:overflowPunct/>
        <w:topLinePunct w:val="0"/>
        <w:autoSpaceDE/>
        <w:autoSpaceDN/>
        <w:bidi w:val="0"/>
        <w:adjustRightInd/>
        <w:snapToGrid/>
      </w:pPr>
      <w:r>
        <w:rPr>
          <w:rFonts w:ascii="仿宋" w:hAnsi="仿宋" w:eastAsia="仿宋"/>
          <w:color w:val="000000" w:themeColor="text1"/>
          <w:sz w:val="32"/>
          <w:szCs w:val="32"/>
          <w14:textFill>
            <w14:solidFill>
              <w14:schemeClr w14:val="tx1"/>
            </w14:solidFill>
          </w14:textFill>
        </w:rPr>
        <w:drawing>
          <wp:inline distT="0" distB="0" distL="114300" distR="114300">
            <wp:extent cx="5125085" cy="2719705"/>
            <wp:effectExtent l="4445" t="4445" r="13970" b="1905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rFonts w:hint="eastAsia" w:ascii="仿宋" w:hAnsi="仿宋" w:eastAsia="仿宋"/>
          <w:b w:val="0"/>
          <w:bCs w:val="0"/>
          <w:color w:val="000000" w:themeColor="text1"/>
          <w:sz w:val="32"/>
          <w:szCs w:val="32"/>
          <w:lang w:val="en-US" w:eastAsia="zh-CN"/>
          <w14:textFill>
            <w14:solidFill>
              <w14:schemeClr w14:val="tx1"/>
            </w14:solidFill>
          </w14:textFill>
        </w:rPr>
        <w:t xml:space="preserve">  </w:t>
      </w:r>
      <w:r>
        <w:rPr>
          <w:rFonts w:hint="eastAsia"/>
          <w:b w:val="0"/>
          <w:bCs w:val="0"/>
        </w:rPr>
        <w:t>五、固定投资和房地产开发</w:t>
      </w:r>
    </w:p>
    <w:p w14:paraId="0CB8E179">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eastAsia="仿宋" w:cs="仿宋"/>
          <w:b w:val="0"/>
          <w:bCs w:val="0"/>
          <w:color w:val="000000" w:themeColor="text1"/>
          <w:szCs w:val="32"/>
          <w:lang w:val="en-US" w:eastAsia="zh-CN"/>
          <w14:textFill>
            <w14:solidFill>
              <w14:schemeClr w14:val="tx1"/>
            </w14:solidFill>
          </w14:textFill>
        </w:rPr>
      </w:pPr>
      <w:r>
        <w:rPr>
          <w:rFonts w:hint="eastAsia" w:ascii="仿宋" w:eastAsia="仿宋" w:cs="仿宋"/>
          <w:b w:val="0"/>
          <w:bCs w:val="0"/>
          <w:color w:val="000000" w:themeColor="text1"/>
          <w:szCs w:val="32"/>
          <w:lang w:eastAsia="zh-CN"/>
          <w14:textFill>
            <w14:solidFill>
              <w14:schemeClr w14:val="tx1"/>
            </w14:solidFill>
          </w14:textFill>
        </w:rPr>
        <w:t>自年初以来</w:t>
      </w:r>
      <w:r>
        <w:rPr>
          <w:rFonts w:hint="eastAsia" w:ascii="仿宋" w:eastAsia="仿宋" w:cs="仿宋"/>
          <w:b w:val="0"/>
          <w:bCs w:val="0"/>
          <w:color w:val="000000" w:themeColor="text1"/>
          <w:szCs w:val="32"/>
          <w14:textFill>
            <w14:solidFill>
              <w14:schemeClr w14:val="tx1"/>
            </w14:solidFill>
          </w14:textFill>
        </w:rPr>
        <w:t>，朝阳区扎实推进项目攻坚，把项目建设作为稳增长的“压舱石”，全力以赴抓项目扩投资，迅速掀起项目建设的新热潮，有效发挥了投资的支撑作用，第</w:t>
      </w:r>
      <w:r>
        <w:rPr>
          <w:rFonts w:hint="eastAsia" w:ascii="仿宋" w:eastAsia="仿宋" w:cs="仿宋"/>
          <w:b w:val="0"/>
          <w:bCs w:val="0"/>
          <w:color w:val="000000" w:themeColor="text1"/>
          <w:szCs w:val="32"/>
          <w:lang w:eastAsia="zh-CN"/>
          <w14:textFill>
            <w14:solidFill>
              <w14:schemeClr w14:val="tx1"/>
            </w14:solidFill>
          </w14:textFill>
        </w:rPr>
        <w:t>二</w:t>
      </w:r>
      <w:r>
        <w:rPr>
          <w:rFonts w:hint="eastAsia" w:ascii="仿宋" w:eastAsia="仿宋" w:cs="仿宋"/>
          <w:b w:val="0"/>
          <w:bCs w:val="0"/>
          <w:color w:val="000000" w:themeColor="text1"/>
          <w:szCs w:val="32"/>
          <w14:textFill>
            <w14:solidFill>
              <w14:schemeClr w14:val="tx1"/>
            </w14:solidFill>
          </w14:textFill>
        </w:rPr>
        <w:t>产业和第</w:t>
      </w:r>
      <w:r>
        <w:rPr>
          <w:rFonts w:hint="eastAsia" w:ascii="仿宋" w:eastAsia="仿宋" w:cs="仿宋"/>
          <w:b w:val="0"/>
          <w:bCs w:val="0"/>
          <w:color w:val="000000" w:themeColor="text1"/>
          <w:szCs w:val="32"/>
          <w:lang w:eastAsia="zh-CN"/>
          <w14:textFill>
            <w14:solidFill>
              <w14:schemeClr w14:val="tx1"/>
            </w14:solidFill>
          </w14:textFill>
        </w:rPr>
        <w:t>三</w:t>
      </w:r>
      <w:r>
        <w:rPr>
          <w:rFonts w:hint="eastAsia" w:ascii="仿宋" w:eastAsia="仿宋" w:cs="仿宋"/>
          <w:b w:val="0"/>
          <w:bCs w:val="0"/>
          <w:color w:val="000000" w:themeColor="text1"/>
          <w:szCs w:val="32"/>
          <w14:textFill>
            <w14:solidFill>
              <w14:schemeClr w14:val="tx1"/>
            </w14:solidFill>
          </w14:textFill>
        </w:rPr>
        <w:t>产业投资均</w:t>
      </w:r>
      <w:r>
        <w:rPr>
          <w:rFonts w:hint="eastAsia" w:ascii="仿宋" w:eastAsia="仿宋" w:cs="仿宋"/>
          <w:b w:val="0"/>
          <w:bCs w:val="0"/>
          <w:color w:val="000000" w:themeColor="text1"/>
          <w:szCs w:val="32"/>
          <w:lang w:eastAsia="zh-CN"/>
          <w14:textFill>
            <w14:solidFill>
              <w14:schemeClr w14:val="tx1"/>
            </w14:solidFill>
          </w14:textFill>
        </w:rPr>
        <w:t>呈两位数增长</w:t>
      </w:r>
      <w:r>
        <w:rPr>
          <w:rFonts w:hint="eastAsia" w:ascii="仿宋" w:eastAsia="仿宋" w:cs="仿宋"/>
          <w:b w:val="0"/>
          <w:bCs w:val="0"/>
          <w:color w:val="000000" w:themeColor="text1"/>
          <w:szCs w:val="32"/>
          <w14:textFill>
            <w14:solidFill>
              <w14:schemeClr w14:val="tx1"/>
            </w14:solidFill>
          </w14:textFill>
        </w:rPr>
        <w:t>，房地产开发投资高速增长，在库项目数量</w:t>
      </w:r>
      <w:r>
        <w:rPr>
          <w:rFonts w:hint="eastAsia" w:ascii="仿宋" w:eastAsia="仿宋" w:cs="仿宋"/>
          <w:b w:val="0"/>
          <w:bCs w:val="0"/>
          <w:color w:val="000000" w:themeColor="text1"/>
          <w:szCs w:val="32"/>
          <w:lang w:eastAsia="zh-CN"/>
          <w14:textFill>
            <w14:solidFill>
              <w14:schemeClr w14:val="tx1"/>
            </w14:solidFill>
          </w14:textFill>
        </w:rPr>
        <w:t>明显</w:t>
      </w:r>
      <w:r>
        <w:rPr>
          <w:rFonts w:hint="eastAsia" w:ascii="仿宋" w:eastAsia="仿宋" w:cs="仿宋"/>
          <w:b w:val="0"/>
          <w:bCs w:val="0"/>
          <w:color w:val="000000" w:themeColor="text1"/>
          <w:szCs w:val="32"/>
          <w14:textFill>
            <w14:solidFill>
              <w14:schemeClr w14:val="tx1"/>
            </w14:solidFill>
          </w14:textFill>
        </w:rPr>
        <w:t>提升。朝阳区</w:t>
      </w:r>
      <w:r>
        <w:rPr>
          <w:rFonts w:hint="eastAsia" w:ascii="仿宋" w:eastAsia="仿宋" w:cs="仿宋"/>
          <w:b w:val="0"/>
          <w:bCs w:val="0"/>
          <w:color w:val="000000" w:themeColor="text1"/>
          <w:szCs w:val="32"/>
          <w:lang w:eastAsia="zh-CN"/>
          <w14:textFill>
            <w14:solidFill>
              <w14:schemeClr w14:val="tx1"/>
            </w14:solidFill>
          </w14:textFill>
        </w:rPr>
        <w:t>全年</w:t>
      </w:r>
      <w:r>
        <w:rPr>
          <w:rFonts w:hint="eastAsia" w:ascii="仿宋" w:eastAsia="仿宋" w:cs="仿宋"/>
          <w:b w:val="0"/>
          <w:bCs w:val="0"/>
          <w:color w:val="000000" w:themeColor="text1"/>
          <w:szCs w:val="32"/>
          <w14:textFill>
            <w14:solidFill>
              <w14:schemeClr w14:val="tx1"/>
            </w14:solidFill>
          </w14:textFill>
        </w:rPr>
        <w:t>累计完成固定资产投资</w:t>
      </w:r>
      <w:r>
        <w:rPr>
          <w:rFonts w:hint="eastAsia" w:ascii="仿宋" w:eastAsia="仿宋" w:cs="仿宋"/>
          <w:b w:val="0"/>
          <w:bCs w:val="0"/>
          <w:color w:val="000000" w:themeColor="text1"/>
          <w:szCs w:val="32"/>
          <w:lang w:val="en-US" w:eastAsia="zh-CN"/>
          <w14:textFill>
            <w14:solidFill>
              <w14:schemeClr w14:val="tx1"/>
            </w14:solidFill>
          </w14:textFill>
        </w:rPr>
        <w:t>136.6</w:t>
      </w:r>
      <w:r>
        <w:rPr>
          <w:rFonts w:hint="eastAsia" w:ascii="仿宋" w:eastAsia="仿宋" w:cs="仿宋"/>
          <w:b w:val="0"/>
          <w:bCs w:val="0"/>
          <w:color w:val="000000" w:themeColor="text1"/>
          <w:szCs w:val="32"/>
          <w14:textFill>
            <w14:solidFill>
              <w14:schemeClr w14:val="tx1"/>
            </w14:solidFill>
          </w14:textFill>
        </w:rPr>
        <w:t>亿元，同比</w:t>
      </w:r>
      <w:r>
        <w:rPr>
          <w:rFonts w:hint="eastAsia" w:ascii="仿宋" w:eastAsia="仿宋" w:cs="仿宋"/>
          <w:b w:val="0"/>
          <w:bCs w:val="0"/>
          <w:color w:val="000000" w:themeColor="text1"/>
          <w:szCs w:val="32"/>
          <w:lang w:val="en-US" w:eastAsia="zh-CN"/>
          <w14:textFill>
            <w14:solidFill>
              <w14:schemeClr w14:val="tx1"/>
            </w14:solidFill>
          </w14:textFill>
        </w:rPr>
        <w:t>增长13.2%</w:t>
      </w:r>
      <w:r>
        <w:rPr>
          <w:rFonts w:hint="eastAsia" w:ascii="仿宋" w:eastAsia="仿宋" w:cs="仿宋"/>
          <w:b w:val="0"/>
          <w:bCs w:val="0"/>
          <w:color w:val="000000" w:themeColor="text1"/>
          <w:szCs w:val="32"/>
          <w14:textFill>
            <w14:solidFill>
              <w14:schemeClr w14:val="tx1"/>
            </w14:solidFill>
          </w14:textFill>
        </w:rPr>
        <w:t>，当年增速较上年同期</w:t>
      </w:r>
      <w:r>
        <w:rPr>
          <w:rFonts w:hint="eastAsia" w:ascii="仿宋" w:eastAsia="仿宋" w:cs="仿宋"/>
          <w:b w:val="0"/>
          <w:bCs w:val="0"/>
          <w:color w:val="000000" w:themeColor="text1"/>
          <w:szCs w:val="32"/>
          <w:lang w:val="en-US" w:eastAsia="zh-CN"/>
          <w14:textFill>
            <w14:solidFill>
              <w14:schemeClr w14:val="tx1"/>
            </w14:solidFill>
          </w14:textFill>
        </w:rPr>
        <w:t>提高16.2</w:t>
      </w:r>
      <w:r>
        <w:rPr>
          <w:rFonts w:hint="eastAsia" w:ascii="仿宋" w:eastAsia="仿宋" w:cs="仿宋"/>
          <w:b w:val="0"/>
          <w:bCs w:val="0"/>
          <w:color w:val="000000" w:themeColor="text1"/>
          <w:szCs w:val="32"/>
          <w14:textFill>
            <w14:solidFill>
              <w14:schemeClr w14:val="tx1"/>
            </w14:solidFill>
          </w14:textFill>
        </w:rPr>
        <w:t>个百分点</w:t>
      </w:r>
      <w:r>
        <w:rPr>
          <w:rFonts w:hint="eastAsia" w:ascii="仿宋" w:eastAsia="仿宋" w:cs="仿宋"/>
          <w:b w:val="0"/>
          <w:bCs w:val="0"/>
          <w:color w:val="000000" w:themeColor="text1"/>
          <w:szCs w:val="32"/>
          <w:lang w:eastAsia="zh-CN"/>
          <w14:textFill>
            <w14:solidFill>
              <w14:schemeClr w14:val="tx1"/>
            </w14:solidFill>
          </w14:textFill>
        </w:rPr>
        <w:t>，</w:t>
      </w:r>
      <w:r>
        <w:rPr>
          <w:rFonts w:hint="eastAsia" w:ascii="仿宋" w:eastAsia="仿宋" w:cs="仿宋"/>
          <w:b w:val="0"/>
          <w:bCs w:val="0"/>
          <w:color w:val="000000" w:themeColor="text1"/>
          <w:szCs w:val="32"/>
          <w:lang w:val="en-US" w:eastAsia="zh-CN"/>
          <w14:textFill>
            <w14:solidFill>
              <w14:schemeClr w14:val="tx1"/>
            </w14:solidFill>
          </w14:textFill>
        </w:rPr>
        <w:t>增速高于全市9个百分点，五城区位居第二位</w:t>
      </w:r>
      <w:r>
        <w:rPr>
          <w:rFonts w:hint="eastAsia" w:ascii="仿宋" w:eastAsia="仿宋" w:cs="仿宋"/>
          <w:b w:val="0"/>
          <w:bCs w:val="0"/>
          <w:color w:val="000000" w:themeColor="text1"/>
          <w:szCs w:val="32"/>
          <w14:textFill>
            <w14:solidFill>
              <w14:schemeClr w14:val="tx1"/>
            </w14:solidFill>
          </w14:textFill>
        </w:rPr>
        <w:t>。其中，500万元以上固定资产投资完成</w:t>
      </w:r>
      <w:r>
        <w:rPr>
          <w:rFonts w:hint="eastAsia" w:ascii="仿宋" w:eastAsia="仿宋" w:cs="仿宋"/>
          <w:b w:val="0"/>
          <w:bCs w:val="0"/>
          <w:color w:val="000000" w:themeColor="text1"/>
          <w:szCs w:val="32"/>
          <w:lang w:val="en-US" w:eastAsia="zh-CN"/>
          <w14:textFill>
            <w14:solidFill>
              <w14:schemeClr w14:val="tx1"/>
            </w14:solidFill>
          </w14:textFill>
        </w:rPr>
        <w:t>93.2</w:t>
      </w:r>
      <w:r>
        <w:rPr>
          <w:rFonts w:hint="eastAsia" w:ascii="仿宋" w:eastAsia="仿宋" w:cs="仿宋"/>
          <w:b w:val="0"/>
          <w:bCs w:val="0"/>
          <w:color w:val="000000" w:themeColor="text1"/>
          <w:szCs w:val="32"/>
          <w14:textFill>
            <w14:solidFill>
              <w14:schemeClr w14:val="tx1"/>
            </w14:solidFill>
          </w14:textFill>
        </w:rPr>
        <w:t>亿元，同比</w:t>
      </w:r>
      <w:r>
        <w:rPr>
          <w:rFonts w:hint="eastAsia" w:ascii="仿宋" w:eastAsia="仿宋" w:cs="仿宋"/>
          <w:b w:val="0"/>
          <w:bCs w:val="0"/>
          <w:color w:val="000000" w:themeColor="text1"/>
          <w:szCs w:val="32"/>
          <w:lang w:val="en-US" w:eastAsia="zh-CN"/>
          <w14:textFill>
            <w14:solidFill>
              <w14:schemeClr w14:val="tx1"/>
            </w14:solidFill>
          </w14:textFill>
        </w:rPr>
        <w:t>下降6%</w:t>
      </w:r>
      <w:r>
        <w:rPr>
          <w:rFonts w:hint="eastAsia" w:ascii="仿宋" w:eastAsia="仿宋" w:cs="仿宋"/>
          <w:b w:val="0"/>
          <w:bCs w:val="0"/>
          <w:color w:val="000000" w:themeColor="text1"/>
          <w:szCs w:val="32"/>
          <w14:textFill>
            <w14:solidFill>
              <w14:schemeClr w14:val="tx1"/>
            </w14:solidFill>
          </w14:textFill>
        </w:rPr>
        <w:t>，当年增速较上年同期</w:t>
      </w:r>
      <w:r>
        <w:rPr>
          <w:rFonts w:hint="eastAsia" w:ascii="仿宋" w:eastAsia="仿宋" w:cs="仿宋"/>
          <w:b w:val="0"/>
          <w:bCs w:val="0"/>
          <w:color w:val="000000" w:themeColor="text1"/>
          <w:szCs w:val="32"/>
          <w:lang w:val="en-US" w:eastAsia="zh-CN"/>
          <w14:textFill>
            <w14:solidFill>
              <w14:schemeClr w14:val="tx1"/>
            </w14:solidFill>
          </w14:textFill>
        </w:rPr>
        <w:t>回落22.8个</w:t>
      </w:r>
      <w:r>
        <w:rPr>
          <w:rFonts w:hint="eastAsia" w:ascii="仿宋" w:eastAsia="仿宋" w:cs="仿宋"/>
          <w:b w:val="0"/>
          <w:bCs w:val="0"/>
          <w:color w:val="000000" w:themeColor="text1"/>
          <w:szCs w:val="32"/>
          <w14:textFill>
            <w14:solidFill>
              <w14:schemeClr w14:val="tx1"/>
            </w14:solidFill>
          </w14:textFill>
        </w:rPr>
        <w:t>百分点</w:t>
      </w:r>
      <w:r>
        <w:rPr>
          <w:rFonts w:hint="eastAsia" w:ascii="仿宋" w:eastAsia="仿宋" w:cs="仿宋"/>
          <w:b w:val="0"/>
          <w:bCs w:val="0"/>
          <w:color w:val="000000" w:themeColor="text1"/>
          <w:szCs w:val="32"/>
          <w:lang w:eastAsia="zh-CN"/>
          <w14:textFill>
            <w14:solidFill>
              <w14:schemeClr w14:val="tx1"/>
            </w14:solidFill>
          </w14:textFill>
        </w:rPr>
        <w:t>，</w:t>
      </w:r>
      <w:r>
        <w:rPr>
          <w:rFonts w:hint="eastAsia" w:ascii="仿宋" w:eastAsia="仿宋" w:cs="仿宋"/>
          <w:b w:val="0"/>
          <w:bCs w:val="0"/>
          <w:color w:val="000000" w:themeColor="text1"/>
          <w:szCs w:val="32"/>
          <w:lang w:val="en-US" w:eastAsia="zh-CN"/>
          <w14:textFill>
            <w14:solidFill>
              <w14:schemeClr w14:val="tx1"/>
            </w14:solidFill>
          </w14:textFill>
        </w:rPr>
        <w:t>下拉全区固定资产投资3个百分点</w:t>
      </w:r>
      <w:r>
        <w:rPr>
          <w:rFonts w:hint="eastAsia" w:ascii="仿宋" w:eastAsia="仿宋" w:cs="仿宋"/>
          <w:b w:val="0"/>
          <w:bCs w:val="0"/>
          <w:color w:val="000000" w:themeColor="text1"/>
          <w:szCs w:val="32"/>
          <w14:textFill>
            <w14:solidFill>
              <w14:schemeClr w14:val="tx1"/>
            </w14:solidFill>
          </w14:textFill>
        </w:rPr>
        <w:t>；房地产开发投资完成</w:t>
      </w:r>
      <w:r>
        <w:rPr>
          <w:rFonts w:hint="eastAsia" w:ascii="仿宋" w:eastAsia="仿宋" w:cs="仿宋"/>
          <w:b w:val="0"/>
          <w:bCs w:val="0"/>
          <w:color w:val="000000" w:themeColor="text1"/>
          <w:szCs w:val="32"/>
          <w:lang w:val="en-US" w:eastAsia="zh-CN"/>
          <w14:textFill>
            <w14:solidFill>
              <w14:schemeClr w14:val="tx1"/>
            </w14:solidFill>
          </w14:textFill>
        </w:rPr>
        <w:t>33.9</w:t>
      </w:r>
      <w:r>
        <w:rPr>
          <w:rFonts w:hint="eastAsia" w:ascii="仿宋" w:eastAsia="仿宋" w:cs="仿宋"/>
          <w:b w:val="0"/>
          <w:bCs w:val="0"/>
          <w:color w:val="000000" w:themeColor="text1"/>
          <w:szCs w:val="32"/>
          <w14:textFill>
            <w14:solidFill>
              <w14:schemeClr w14:val="tx1"/>
            </w14:solidFill>
          </w14:textFill>
        </w:rPr>
        <w:t>亿元，同比</w:t>
      </w:r>
      <w:r>
        <w:rPr>
          <w:rFonts w:hint="eastAsia" w:ascii="仿宋" w:eastAsia="仿宋" w:cs="仿宋"/>
          <w:b w:val="0"/>
          <w:bCs w:val="0"/>
          <w:color w:val="000000" w:themeColor="text1"/>
          <w:szCs w:val="32"/>
          <w:lang w:val="en-US" w:eastAsia="zh-CN"/>
          <w14:textFill>
            <w14:solidFill>
              <w14:schemeClr w14:val="tx1"/>
            </w14:solidFill>
          </w14:textFill>
        </w:rPr>
        <w:t>增长57.6%</w:t>
      </w:r>
      <w:r>
        <w:rPr>
          <w:rFonts w:hint="eastAsia" w:ascii="仿宋" w:eastAsia="仿宋" w:cs="仿宋"/>
          <w:b w:val="0"/>
          <w:bCs w:val="0"/>
          <w:color w:val="000000" w:themeColor="text1"/>
          <w:szCs w:val="32"/>
          <w14:textFill>
            <w14:solidFill>
              <w14:schemeClr w14:val="tx1"/>
            </w14:solidFill>
          </w14:textFill>
        </w:rPr>
        <w:t>，当年增速较上年同期</w:t>
      </w:r>
      <w:r>
        <w:rPr>
          <w:rFonts w:hint="eastAsia" w:ascii="仿宋" w:eastAsia="仿宋" w:cs="仿宋"/>
          <w:b w:val="0"/>
          <w:bCs w:val="0"/>
          <w:color w:val="000000" w:themeColor="text1"/>
          <w:szCs w:val="32"/>
          <w:lang w:val="en-US" w:eastAsia="zh-CN"/>
          <w14:textFill>
            <w14:solidFill>
              <w14:schemeClr w14:val="tx1"/>
            </w14:solidFill>
          </w14:textFill>
        </w:rPr>
        <w:t>提高108</w:t>
      </w:r>
      <w:r>
        <w:rPr>
          <w:rFonts w:hint="eastAsia" w:ascii="仿宋" w:eastAsia="仿宋" w:cs="仿宋"/>
          <w:b w:val="0"/>
          <w:bCs w:val="0"/>
          <w:color w:val="000000" w:themeColor="text1"/>
          <w:szCs w:val="32"/>
          <w14:textFill>
            <w14:solidFill>
              <w14:schemeClr w14:val="tx1"/>
            </w14:solidFill>
          </w14:textFill>
        </w:rPr>
        <w:t>个百分点</w:t>
      </w:r>
      <w:r>
        <w:rPr>
          <w:rFonts w:hint="eastAsia" w:ascii="仿宋" w:eastAsia="仿宋" w:cs="仿宋"/>
          <w:b w:val="0"/>
          <w:bCs w:val="0"/>
          <w:color w:val="000000" w:themeColor="text1"/>
          <w:szCs w:val="32"/>
          <w:lang w:eastAsia="zh-CN"/>
          <w14:textFill>
            <w14:solidFill>
              <w14:schemeClr w14:val="tx1"/>
            </w14:solidFill>
          </w14:textFill>
        </w:rPr>
        <w:t>，</w:t>
      </w:r>
      <w:r>
        <w:rPr>
          <w:rFonts w:hint="eastAsia" w:ascii="仿宋" w:eastAsia="仿宋" w:cs="仿宋"/>
          <w:b w:val="0"/>
          <w:bCs w:val="0"/>
          <w:color w:val="000000" w:themeColor="text1"/>
          <w:szCs w:val="32"/>
          <w14:textFill>
            <w14:solidFill>
              <w14:schemeClr w14:val="tx1"/>
            </w14:solidFill>
          </w14:textFill>
        </w:rPr>
        <w:t>占全</w:t>
      </w:r>
      <w:r>
        <w:rPr>
          <w:rFonts w:hint="eastAsia" w:ascii="仿宋" w:eastAsia="仿宋" w:cs="仿宋"/>
          <w:b w:val="0"/>
          <w:bCs w:val="0"/>
          <w:color w:val="000000" w:themeColor="text1"/>
          <w:szCs w:val="32"/>
          <w:lang w:eastAsia="zh-CN"/>
          <w14:textFill>
            <w14:solidFill>
              <w14:schemeClr w14:val="tx1"/>
            </w14:solidFill>
          </w14:textFill>
        </w:rPr>
        <w:t>区</w:t>
      </w:r>
      <w:r>
        <w:rPr>
          <w:rFonts w:hint="eastAsia" w:ascii="仿宋" w:eastAsia="仿宋" w:cs="仿宋"/>
          <w:b w:val="0"/>
          <w:bCs w:val="0"/>
          <w:color w:val="000000" w:themeColor="text1"/>
          <w:szCs w:val="32"/>
          <w14:textFill>
            <w14:solidFill>
              <w14:schemeClr w14:val="tx1"/>
            </w14:solidFill>
          </w14:textFill>
        </w:rPr>
        <w:t>固定资产投资的</w:t>
      </w:r>
      <w:r>
        <w:rPr>
          <w:rFonts w:hint="eastAsia" w:ascii="仿宋" w:eastAsia="仿宋" w:cs="仿宋"/>
          <w:b w:val="0"/>
          <w:bCs w:val="0"/>
          <w:color w:val="000000" w:themeColor="text1"/>
          <w:szCs w:val="32"/>
          <w:lang w:val="en-US" w:eastAsia="zh-CN"/>
          <w14:textFill>
            <w14:solidFill>
              <w14:schemeClr w14:val="tx1"/>
            </w14:solidFill>
          </w14:textFill>
        </w:rPr>
        <w:t>24</w:t>
      </w:r>
      <w:r>
        <w:rPr>
          <w:rFonts w:hint="eastAsia" w:ascii="仿宋" w:eastAsia="仿宋" w:cs="仿宋"/>
          <w:b w:val="0"/>
          <w:bCs w:val="0"/>
          <w:color w:val="000000" w:themeColor="text1"/>
          <w:szCs w:val="32"/>
          <w14:textFill>
            <w14:solidFill>
              <w14:schemeClr w14:val="tx1"/>
            </w14:solidFill>
          </w14:textFill>
        </w:rPr>
        <w:t>.</w:t>
      </w:r>
      <w:r>
        <w:rPr>
          <w:rFonts w:hint="eastAsia" w:ascii="仿宋" w:eastAsia="仿宋" w:cs="仿宋"/>
          <w:b w:val="0"/>
          <w:bCs w:val="0"/>
          <w:color w:val="000000" w:themeColor="text1"/>
          <w:szCs w:val="32"/>
          <w:lang w:val="en-US" w:eastAsia="zh-CN"/>
          <w14:textFill>
            <w14:solidFill>
              <w14:schemeClr w14:val="tx1"/>
            </w14:solidFill>
          </w14:textFill>
        </w:rPr>
        <w:t>8</w:t>
      </w:r>
      <w:r>
        <w:rPr>
          <w:rFonts w:hint="eastAsia" w:ascii="仿宋" w:eastAsia="仿宋" w:cs="仿宋"/>
          <w:b w:val="0"/>
          <w:bCs w:val="0"/>
          <w:color w:val="000000" w:themeColor="text1"/>
          <w:szCs w:val="32"/>
          <w14:textFill>
            <w14:solidFill>
              <w14:schemeClr w14:val="tx1"/>
            </w14:solidFill>
          </w14:textFill>
        </w:rPr>
        <w:t>%，拉动</w:t>
      </w:r>
      <w:r>
        <w:rPr>
          <w:rFonts w:hint="eastAsia" w:ascii="仿宋" w:eastAsia="仿宋" w:cs="仿宋"/>
          <w:b w:val="0"/>
          <w:bCs w:val="0"/>
          <w:color w:val="000000" w:themeColor="text1"/>
          <w:szCs w:val="32"/>
          <w:lang w:eastAsia="zh-CN"/>
          <w14:textFill>
            <w14:solidFill>
              <w14:schemeClr w14:val="tx1"/>
            </w14:solidFill>
          </w14:textFill>
        </w:rPr>
        <w:t>全区</w:t>
      </w:r>
      <w:r>
        <w:rPr>
          <w:rFonts w:hint="eastAsia" w:ascii="仿宋" w:eastAsia="仿宋" w:cs="仿宋"/>
          <w:b w:val="0"/>
          <w:bCs w:val="0"/>
          <w:color w:val="000000" w:themeColor="text1"/>
          <w:szCs w:val="32"/>
          <w14:textFill>
            <w14:solidFill>
              <w14:schemeClr w14:val="tx1"/>
            </w14:solidFill>
          </w14:textFill>
        </w:rPr>
        <w:t>固定资产投资增长</w:t>
      </w:r>
      <w:r>
        <w:rPr>
          <w:rFonts w:hint="eastAsia" w:ascii="仿宋" w:eastAsia="仿宋" w:cs="仿宋"/>
          <w:b w:val="0"/>
          <w:bCs w:val="0"/>
          <w:color w:val="000000" w:themeColor="text1"/>
          <w:szCs w:val="32"/>
          <w:lang w:val="en-US" w:eastAsia="zh-CN"/>
          <w14:textFill>
            <w14:solidFill>
              <w14:schemeClr w14:val="tx1"/>
            </w14:solidFill>
          </w14:textFill>
        </w:rPr>
        <w:t>10</w:t>
      </w:r>
      <w:r>
        <w:rPr>
          <w:rFonts w:hint="eastAsia" w:ascii="仿宋" w:eastAsia="仿宋" w:cs="仿宋"/>
          <w:b w:val="0"/>
          <w:bCs w:val="0"/>
          <w:color w:val="000000" w:themeColor="text1"/>
          <w:szCs w:val="32"/>
          <w14:textFill>
            <w14:solidFill>
              <w14:schemeClr w14:val="tx1"/>
            </w14:solidFill>
          </w14:textFill>
        </w:rPr>
        <w:t>.</w:t>
      </w:r>
      <w:r>
        <w:rPr>
          <w:rFonts w:hint="eastAsia" w:ascii="仿宋" w:eastAsia="仿宋" w:cs="仿宋"/>
          <w:b w:val="0"/>
          <w:bCs w:val="0"/>
          <w:color w:val="000000" w:themeColor="text1"/>
          <w:szCs w:val="32"/>
          <w:lang w:val="en-US" w:eastAsia="zh-CN"/>
          <w14:textFill>
            <w14:solidFill>
              <w14:schemeClr w14:val="tx1"/>
            </w14:solidFill>
          </w14:textFill>
        </w:rPr>
        <w:t>3</w:t>
      </w:r>
      <w:r>
        <w:rPr>
          <w:rFonts w:hint="eastAsia" w:ascii="仿宋" w:eastAsia="仿宋" w:cs="仿宋"/>
          <w:b w:val="0"/>
          <w:bCs w:val="0"/>
          <w:color w:val="000000" w:themeColor="text1"/>
          <w:szCs w:val="32"/>
          <w14:textFill>
            <w14:solidFill>
              <w14:schemeClr w14:val="tx1"/>
            </w14:solidFill>
          </w14:textFill>
        </w:rPr>
        <w:t>个百分点。。工业完成投资2</w:t>
      </w:r>
      <w:r>
        <w:rPr>
          <w:rFonts w:hint="eastAsia" w:ascii="仿宋" w:eastAsia="仿宋" w:cs="仿宋"/>
          <w:b w:val="0"/>
          <w:bCs w:val="0"/>
          <w:color w:val="000000" w:themeColor="text1"/>
          <w:szCs w:val="32"/>
          <w:lang w:val="en-US" w:eastAsia="zh-CN"/>
          <w14:textFill>
            <w14:solidFill>
              <w14:schemeClr w14:val="tx1"/>
            </w14:solidFill>
          </w14:textFill>
        </w:rPr>
        <w:t>8</w:t>
      </w:r>
      <w:r>
        <w:rPr>
          <w:rFonts w:hint="eastAsia" w:ascii="仿宋" w:eastAsia="仿宋" w:cs="仿宋"/>
          <w:b w:val="0"/>
          <w:bCs w:val="0"/>
          <w:color w:val="000000" w:themeColor="text1"/>
          <w:szCs w:val="32"/>
          <w14:textFill>
            <w14:solidFill>
              <w14:schemeClr w14:val="tx1"/>
            </w14:solidFill>
          </w14:textFill>
        </w:rPr>
        <w:t>.9亿元，同比增长1</w:t>
      </w:r>
      <w:r>
        <w:rPr>
          <w:rFonts w:hint="eastAsia" w:ascii="仿宋" w:eastAsia="仿宋" w:cs="仿宋"/>
          <w:b w:val="0"/>
          <w:bCs w:val="0"/>
          <w:color w:val="000000" w:themeColor="text1"/>
          <w:szCs w:val="32"/>
          <w:lang w:val="en-US" w:eastAsia="zh-CN"/>
          <w14:textFill>
            <w14:solidFill>
              <w14:schemeClr w14:val="tx1"/>
            </w14:solidFill>
          </w14:textFill>
        </w:rPr>
        <w:t>6</w:t>
      </w:r>
      <w:r>
        <w:rPr>
          <w:rFonts w:hint="eastAsia" w:ascii="仿宋" w:eastAsia="仿宋" w:cs="仿宋"/>
          <w:b w:val="0"/>
          <w:bCs w:val="0"/>
          <w:color w:val="000000" w:themeColor="text1"/>
          <w:szCs w:val="32"/>
          <w14:textFill>
            <w14:solidFill>
              <w14:schemeClr w14:val="tx1"/>
            </w14:solidFill>
          </w14:textFill>
        </w:rPr>
        <w:t>.1%，当年增速较上年同期</w:t>
      </w:r>
      <w:r>
        <w:rPr>
          <w:rFonts w:hint="eastAsia" w:ascii="仿宋" w:eastAsia="仿宋" w:cs="仿宋"/>
          <w:b w:val="0"/>
          <w:bCs w:val="0"/>
          <w:color w:val="000000" w:themeColor="text1"/>
          <w:szCs w:val="32"/>
          <w:lang w:eastAsia="zh-CN"/>
          <w14:textFill>
            <w14:solidFill>
              <w14:schemeClr w14:val="tx1"/>
            </w14:solidFill>
          </w14:textFill>
        </w:rPr>
        <w:t>回落</w:t>
      </w:r>
      <w:r>
        <w:rPr>
          <w:rFonts w:hint="eastAsia" w:ascii="仿宋" w:eastAsia="仿宋" w:cs="仿宋"/>
          <w:b w:val="0"/>
          <w:bCs w:val="0"/>
          <w:color w:val="000000" w:themeColor="text1"/>
          <w:szCs w:val="32"/>
          <w:lang w:val="en-US" w:eastAsia="zh-CN"/>
          <w14:textFill>
            <w14:solidFill>
              <w14:schemeClr w14:val="tx1"/>
            </w14:solidFill>
          </w14:textFill>
        </w:rPr>
        <w:t>113</w:t>
      </w:r>
      <w:r>
        <w:rPr>
          <w:rFonts w:hint="eastAsia" w:ascii="仿宋" w:eastAsia="仿宋" w:cs="仿宋"/>
          <w:b w:val="0"/>
          <w:bCs w:val="0"/>
          <w:color w:val="000000" w:themeColor="text1"/>
          <w:szCs w:val="32"/>
          <w14:textFill>
            <w14:solidFill>
              <w14:schemeClr w14:val="tx1"/>
            </w14:solidFill>
          </w14:textFill>
        </w:rPr>
        <w:t>个百分点，完成投资占全部投资额的2</w:t>
      </w:r>
      <w:r>
        <w:rPr>
          <w:rFonts w:hint="eastAsia" w:ascii="仿宋" w:eastAsia="仿宋" w:cs="仿宋"/>
          <w:b w:val="0"/>
          <w:bCs w:val="0"/>
          <w:color w:val="000000" w:themeColor="text1"/>
          <w:szCs w:val="32"/>
          <w:lang w:val="en-US" w:eastAsia="zh-CN"/>
          <w14:textFill>
            <w14:solidFill>
              <w14:schemeClr w14:val="tx1"/>
            </w14:solidFill>
          </w14:textFill>
        </w:rPr>
        <w:t>1</w:t>
      </w:r>
      <w:r>
        <w:rPr>
          <w:rFonts w:hint="eastAsia" w:ascii="仿宋" w:eastAsia="仿宋" w:cs="仿宋"/>
          <w:b w:val="0"/>
          <w:bCs w:val="0"/>
          <w:color w:val="000000" w:themeColor="text1"/>
          <w:szCs w:val="32"/>
          <w14:textFill>
            <w14:solidFill>
              <w14:schemeClr w14:val="tx1"/>
            </w14:solidFill>
          </w14:textFill>
        </w:rPr>
        <w:t>.</w:t>
      </w:r>
      <w:r>
        <w:rPr>
          <w:rFonts w:hint="eastAsia" w:ascii="仿宋" w:eastAsia="仿宋" w:cs="仿宋"/>
          <w:b w:val="0"/>
          <w:bCs w:val="0"/>
          <w:color w:val="000000" w:themeColor="text1"/>
          <w:szCs w:val="32"/>
          <w:lang w:val="en-US" w:eastAsia="zh-CN"/>
          <w14:textFill>
            <w14:solidFill>
              <w14:schemeClr w14:val="tx1"/>
            </w14:solidFill>
          </w14:textFill>
        </w:rPr>
        <w:t>2</w:t>
      </w:r>
      <w:r>
        <w:rPr>
          <w:rFonts w:hint="eastAsia" w:ascii="仿宋" w:eastAsia="仿宋" w:cs="仿宋"/>
          <w:b w:val="0"/>
          <w:bCs w:val="0"/>
          <w:color w:val="000000" w:themeColor="text1"/>
          <w:szCs w:val="32"/>
          <w14:textFill>
            <w14:solidFill>
              <w14:schemeClr w14:val="tx1"/>
            </w14:solidFill>
          </w14:textFill>
        </w:rPr>
        <w:t>%，拉动</w:t>
      </w:r>
      <w:r>
        <w:rPr>
          <w:rFonts w:hint="eastAsia" w:ascii="仿宋" w:eastAsia="仿宋" w:cs="仿宋"/>
          <w:b w:val="0"/>
          <w:bCs w:val="0"/>
          <w:color w:val="000000" w:themeColor="text1"/>
          <w:szCs w:val="32"/>
          <w:lang w:eastAsia="zh-CN"/>
          <w14:textFill>
            <w14:solidFill>
              <w14:schemeClr w14:val="tx1"/>
            </w14:solidFill>
          </w14:textFill>
        </w:rPr>
        <w:t>全区</w:t>
      </w:r>
      <w:r>
        <w:rPr>
          <w:rFonts w:hint="eastAsia" w:ascii="仿宋" w:eastAsia="仿宋" w:cs="仿宋"/>
          <w:b w:val="0"/>
          <w:bCs w:val="0"/>
          <w:color w:val="000000" w:themeColor="text1"/>
          <w:szCs w:val="32"/>
          <w14:textFill>
            <w14:solidFill>
              <w14:schemeClr w14:val="tx1"/>
            </w14:solidFill>
          </w14:textFill>
        </w:rPr>
        <w:t>固定资产投资增长</w:t>
      </w:r>
      <w:r>
        <w:rPr>
          <w:rFonts w:hint="eastAsia" w:ascii="仿宋" w:eastAsia="仿宋" w:cs="仿宋"/>
          <w:b w:val="0"/>
          <w:bCs w:val="0"/>
          <w:color w:val="000000" w:themeColor="text1"/>
          <w:szCs w:val="32"/>
          <w:lang w:val="en-US" w:eastAsia="zh-CN"/>
          <w14:textFill>
            <w14:solidFill>
              <w14:schemeClr w14:val="tx1"/>
            </w14:solidFill>
          </w14:textFill>
        </w:rPr>
        <w:t>3</w:t>
      </w:r>
      <w:r>
        <w:rPr>
          <w:rFonts w:hint="eastAsia" w:ascii="仿宋" w:eastAsia="仿宋" w:cs="仿宋"/>
          <w:b w:val="0"/>
          <w:bCs w:val="0"/>
          <w:color w:val="000000" w:themeColor="text1"/>
          <w:szCs w:val="32"/>
          <w14:textFill>
            <w14:solidFill>
              <w14:schemeClr w14:val="tx1"/>
            </w14:solidFill>
          </w14:textFill>
        </w:rPr>
        <w:t>.</w:t>
      </w:r>
      <w:r>
        <w:rPr>
          <w:rFonts w:hint="eastAsia" w:ascii="仿宋" w:eastAsia="仿宋" w:cs="仿宋"/>
          <w:b w:val="0"/>
          <w:bCs w:val="0"/>
          <w:color w:val="000000" w:themeColor="text1"/>
          <w:szCs w:val="32"/>
          <w:lang w:val="en-US" w:eastAsia="zh-CN"/>
          <w14:textFill>
            <w14:solidFill>
              <w14:schemeClr w14:val="tx1"/>
            </w14:solidFill>
          </w14:textFill>
        </w:rPr>
        <w:t>3</w:t>
      </w:r>
      <w:r>
        <w:rPr>
          <w:rFonts w:hint="eastAsia" w:ascii="仿宋" w:eastAsia="仿宋" w:cs="仿宋"/>
          <w:b w:val="0"/>
          <w:bCs w:val="0"/>
          <w:color w:val="000000" w:themeColor="text1"/>
          <w:szCs w:val="32"/>
          <w14:textFill>
            <w14:solidFill>
              <w14:schemeClr w14:val="tx1"/>
            </w14:solidFill>
          </w14:textFill>
        </w:rPr>
        <w:t>个百分点。</w:t>
      </w:r>
      <w:r>
        <w:rPr>
          <w:rFonts w:hint="eastAsia" w:ascii="仿宋" w:eastAsia="仿宋" w:cs="仿宋"/>
          <w:b w:val="0"/>
          <w:bCs w:val="0"/>
          <w:color w:val="000000" w:themeColor="text1"/>
          <w:szCs w:val="32"/>
          <w:lang w:eastAsia="zh-CN"/>
          <w14:textFill>
            <w14:solidFill>
              <w14:schemeClr w14:val="tx1"/>
            </w14:solidFill>
          </w14:textFill>
        </w:rPr>
        <w:t>投资</w:t>
      </w:r>
      <w:r>
        <w:rPr>
          <w:rFonts w:hint="eastAsia" w:ascii="仿宋" w:eastAsia="仿宋" w:cs="仿宋"/>
          <w:b w:val="0"/>
          <w:bCs w:val="0"/>
          <w:color w:val="000000" w:themeColor="text1"/>
          <w:szCs w:val="32"/>
          <w14:textFill>
            <w14:solidFill>
              <w14:schemeClr w14:val="tx1"/>
            </w14:solidFill>
          </w14:textFill>
        </w:rPr>
        <w:t>完成情况可见图</w:t>
      </w:r>
      <w:r>
        <w:rPr>
          <w:rFonts w:hint="eastAsia" w:ascii="仿宋" w:eastAsia="仿宋" w:cs="仿宋"/>
          <w:b w:val="0"/>
          <w:bCs w:val="0"/>
          <w:color w:val="000000" w:themeColor="text1"/>
          <w:szCs w:val="32"/>
          <w:lang w:eastAsia="zh-CN"/>
          <w14:textFill>
            <w14:solidFill>
              <w14:schemeClr w14:val="tx1"/>
            </w14:solidFill>
          </w14:textFill>
        </w:rPr>
        <w:t>表：</w:t>
      </w:r>
      <w:r>
        <w:rPr>
          <w:rFonts w:hint="eastAsia" w:ascii="仿宋" w:eastAsia="仿宋" w:cs="仿宋"/>
          <w:b w:val="0"/>
          <w:bCs w:val="0"/>
          <w:color w:val="000000" w:themeColor="text1"/>
          <w:szCs w:val="32"/>
          <w:lang w:val="en-US" w:eastAsia="zh-CN"/>
          <w14:textFill>
            <w14:solidFill>
              <w14:schemeClr w14:val="tx1"/>
            </w14:solidFill>
          </w14:textFill>
        </w:rPr>
        <w:t xml:space="preserve"> </w:t>
      </w:r>
    </w:p>
    <w:p w14:paraId="247B9B58">
      <w:pPr>
        <w:pStyle w:val="2"/>
        <w:keepNext w:val="0"/>
        <w:keepLines w:val="0"/>
        <w:pageBreakBefore w:val="0"/>
        <w:widowControl w:val="0"/>
        <w:kinsoku/>
        <w:wordWrap/>
        <w:overflowPunct/>
        <w:topLinePunct w:val="0"/>
        <w:autoSpaceDE/>
        <w:autoSpaceDN/>
        <w:bidi w:val="0"/>
        <w:adjustRightInd/>
        <w:snapToGrid/>
        <w:ind w:left="0" w:firstLine="640" w:firstLineChars="200"/>
        <w:rPr>
          <w:color w:val="000000" w:themeColor="text1"/>
          <w14:textFill>
            <w14:solidFill>
              <w14:schemeClr w14:val="tx1"/>
            </w14:solidFill>
          </w14:textFill>
        </w:rPr>
      </w:pPr>
      <w:r>
        <w:rPr>
          <w:rFonts w:hint="eastAsia" w:ascii="仿宋" w:eastAsia="仿宋" w:cs="仿宋"/>
          <w:b w:val="0"/>
          <w:bCs w:val="0"/>
          <w:color w:val="000000" w:themeColor="text1"/>
          <w:szCs w:val="32"/>
          <w:lang w:val="en-US" w:eastAsia="zh-CN"/>
          <w14:textFill>
            <w14:solidFill>
              <w14:schemeClr w14:val="tx1"/>
            </w14:solidFill>
          </w14:textFill>
        </w:rPr>
        <w:t xml:space="preserve">     </w:t>
      </w:r>
      <w:r>
        <w:rPr>
          <w:rFonts w:hint="eastAsia" w:ascii="仿宋" w:eastAsia="仿宋" w:cs="仿宋"/>
          <w:b w:val="0"/>
          <w:bCs w:val="0"/>
          <w:color w:val="000000" w:themeColor="text1"/>
          <w:szCs w:val="32"/>
          <w:lang w:val="en-US" w:eastAsia="zh-CN"/>
          <w14:textFill>
            <w14:solidFill>
              <w14:schemeClr w14:val="tx1"/>
            </w14:solidFill>
          </w14:textFill>
        </w:rPr>
        <w:drawing>
          <wp:inline distT="0" distB="0" distL="114300" distR="114300">
            <wp:extent cx="5256530" cy="2112645"/>
            <wp:effectExtent l="4445" t="4445" r="15875" b="1651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rFonts w:hint="eastAsia" w:ascii="仿宋" w:eastAsia="仿宋" w:cs="仿宋"/>
          <w:b w:val="0"/>
          <w:bCs w:val="0"/>
          <w:color w:val="000000" w:themeColor="text1"/>
          <w:szCs w:val="32"/>
          <w:lang w:val="en-US" w:eastAsia="zh-CN"/>
          <w14:textFill>
            <w14:solidFill>
              <w14:schemeClr w14:val="tx1"/>
            </w14:solidFill>
          </w14:textFill>
        </w:rPr>
        <w:t xml:space="preserve">                                                                                                                                                                                                                                                                                                                                                                                                                                                        </w:t>
      </w:r>
    </w:p>
    <w:p w14:paraId="7EBDE5D8">
      <w:pPr>
        <w:keepNext w:val="0"/>
        <w:keepLines w:val="0"/>
        <w:pageBreakBefore w:val="0"/>
        <w:widowControl w:val="0"/>
        <w:kinsoku/>
        <w:wordWrap/>
        <w:overflowPunct/>
        <w:topLinePunct w:val="0"/>
        <w:autoSpaceDE/>
        <w:autoSpaceDN/>
        <w:bidi w:val="0"/>
        <w:adjustRightInd/>
        <w:snapToGrid/>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olor w:val="000000" w:themeColor="text1"/>
          <w:spacing w:val="8"/>
          <w:sz w:val="32"/>
          <w:szCs w:val="32"/>
          <w14:textFill>
            <w14:solidFill>
              <w14:schemeClr w14:val="tx1"/>
            </w14:solidFill>
          </w14:textFill>
        </w:rPr>
        <w:t>三</w:t>
      </w:r>
      <w:r>
        <w:rPr>
          <w:rFonts w:hint="eastAsia" w:ascii="仿宋" w:hAnsi="仿宋" w:eastAsia="仿宋"/>
          <w:color w:val="000000" w:themeColor="text1"/>
          <w:spacing w:val="8"/>
          <w:sz w:val="32"/>
          <w:szCs w:val="32"/>
          <w:lang w:eastAsia="zh-CN"/>
          <w14:textFill>
            <w14:solidFill>
              <w14:schemeClr w14:val="tx1"/>
            </w14:solidFill>
          </w14:textFill>
        </w:rPr>
        <w:t>大</w:t>
      </w:r>
      <w:r>
        <w:rPr>
          <w:rFonts w:hint="eastAsia" w:ascii="仿宋" w:hAnsi="仿宋" w:eastAsia="仿宋"/>
          <w:color w:val="000000" w:themeColor="text1"/>
          <w:spacing w:val="8"/>
          <w:sz w:val="32"/>
          <w:szCs w:val="32"/>
          <w14:textFill>
            <w14:solidFill>
              <w14:schemeClr w14:val="tx1"/>
            </w14:solidFill>
          </w14:textFill>
        </w:rPr>
        <w:t>产业投资差距明显</w:t>
      </w:r>
      <w:r>
        <w:rPr>
          <w:rFonts w:hint="eastAsia" w:ascii="仿宋" w:eastAsia="仿宋" w:cs="仿宋"/>
          <w:color w:val="000000" w:themeColor="text1"/>
          <w:szCs w:val="32"/>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由于朝阳区第一产业占比较小的特点，近</w:t>
      </w:r>
      <w:r>
        <w:rPr>
          <w:rFonts w:hint="eastAsia" w:ascii="仿宋" w:hAnsi="仿宋" w:eastAsia="仿宋" w:cs="仿宋"/>
          <w:color w:val="000000" w:themeColor="text1"/>
          <w:sz w:val="32"/>
          <w:szCs w:val="32"/>
          <w:lang w:eastAsia="zh-CN"/>
          <w14:textFill>
            <w14:solidFill>
              <w14:schemeClr w14:val="tx1"/>
            </w14:solidFill>
          </w14:textFill>
        </w:rPr>
        <w:t>几</w:t>
      </w:r>
      <w:r>
        <w:rPr>
          <w:rFonts w:hint="eastAsia" w:ascii="仿宋" w:hAnsi="仿宋" w:eastAsia="仿宋" w:cs="仿宋"/>
          <w:color w:val="000000" w:themeColor="text1"/>
          <w:sz w:val="32"/>
          <w:szCs w:val="32"/>
          <w14:textFill>
            <w14:solidFill>
              <w14:schemeClr w14:val="tx1"/>
            </w14:solidFill>
          </w14:textFill>
        </w:rPr>
        <w:t>年来</w:t>
      </w:r>
      <w:r>
        <w:rPr>
          <w:rFonts w:hint="eastAsia" w:ascii="仿宋" w:hAnsi="仿宋" w:eastAsia="仿宋" w:cs="仿宋"/>
          <w:color w:val="000000" w:themeColor="text1"/>
          <w:sz w:val="32"/>
          <w:szCs w:val="32"/>
          <w:lang w:eastAsia="zh-CN"/>
          <w14:textFill>
            <w14:solidFill>
              <w14:schemeClr w14:val="tx1"/>
            </w14:solidFill>
          </w14:textFill>
        </w:rPr>
        <w:t>投资</w:t>
      </w:r>
      <w:r>
        <w:rPr>
          <w:rFonts w:hint="eastAsia" w:ascii="仿宋" w:hAnsi="仿宋" w:eastAsia="仿宋" w:cs="仿宋"/>
          <w:color w:val="000000" w:themeColor="text1"/>
          <w:sz w:val="32"/>
          <w:szCs w:val="32"/>
          <w14:textFill>
            <w14:solidFill>
              <w14:schemeClr w14:val="tx1"/>
            </w14:solidFill>
          </w14:textFill>
        </w:rPr>
        <w:t>一度处于停摆状态</w:t>
      </w:r>
      <w:r>
        <w:rPr>
          <w:rFonts w:hint="eastAsia" w:ascii="仿宋" w:eastAsia="仿宋"/>
          <w:color w:val="000000" w:themeColor="text1"/>
          <w:sz w:val="32"/>
          <w:szCs w:val="32"/>
          <w14:textFill>
            <w14:solidFill>
              <w14:schemeClr w14:val="tx1"/>
            </w14:solidFill>
          </w14:textFill>
        </w:rPr>
        <w:t>，1-12月份，</w:t>
      </w:r>
      <w:r>
        <w:rPr>
          <w:rFonts w:hint="eastAsia" w:ascii="仿宋" w:eastAsia="仿宋"/>
          <w:color w:val="000000" w:themeColor="text1"/>
          <w:spacing w:val="8"/>
          <w:sz w:val="32"/>
          <w:szCs w:val="32"/>
          <w14:textFill>
            <w14:solidFill>
              <w14:schemeClr w14:val="tx1"/>
            </w14:solidFill>
          </w14:textFill>
        </w:rPr>
        <w:t>第一产业投资为0；第二产业投资</w:t>
      </w:r>
      <w:r>
        <w:rPr>
          <w:rFonts w:hint="eastAsia" w:ascii="仿宋" w:hAnsi="仿宋" w:eastAsia="仿宋" w:cs="仿宋"/>
          <w:color w:val="000000" w:themeColor="text1"/>
          <w:spacing w:val="8"/>
          <w:sz w:val="32"/>
          <w:szCs w:val="32"/>
          <w14:textFill>
            <w14:solidFill>
              <w14:schemeClr w14:val="tx1"/>
            </w14:solidFill>
          </w14:textFill>
        </w:rPr>
        <w:t>2</w:t>
      </w:r>
      <w:r>
        <w:rPr>
          <w:rFonts w:hint="eastAsia" w:ascii="仿宋" w:hAnsi="仿宋" w:eastAsia="仿宋" w:cs="仿宋"/>
          <w:color w:val="000000" w:themeColor="text1"/>
          <w:spacing w:val="8"/>
          <w:sz w:val="32"/>
          <w:szCs w:val="32"/>
          <w:lang w:val="en-US" w:eastAsia="zh-CN"/>
          <w14:textFill>
            <w14:solidFill>
              <w14:schemeClr w14:val="tx1"/>
            </w14:solidFill>
          </w14:textFill>
        </w:rPr>
        <w:t>8</w:t>
      </w:r>
      <w:r>
        <w:rPr>
          <w:rFonts w:hint="eastAsia" w:ascii="仿宋" w:hAnsi="仿宋" w:eastAsia="仿宋" w:cs="仿宋"/>
          <w:color w:val="000000" w:themeColor="text1"/>
          <w:spacing w:val="8"/>
          <w:sz w:val="32"/>
          <w:szCs w:val="32"/>
          <w14:textFill>
            <w14:solidFill>
              <w14:schemeClr w14:val="tx1"/>
            </w14:solidFill>
          </w14:textFill>
        </w:rPr>
        <w:t>.9</w:t>
      </w:r>
      <w:r>
        <w:rPr>
          <w:rFonts w:hint="eastAsia" w:ascii="仿宋" w:eastAsia="仿宋"/>
          <w:color w:val="000000" w:themeColor="text1"/>
          <w:spacing w:val="8"/>
          <w:sz w:val="32"/>
          <w:szCs w:val="32"/>
          <w14:textFill>
            <w14:solidFill>
              <w14:schemeClr w14:val="tx1"/>
            </w14:solidFill>
          </w14:textFill>
        </w:rPr>
        <w:t>亿元，同比增长</w:t>
      </w:r>
      <w:r>
        <w:rPr>
          <w:rFonts w:hint="eastAsia" w:ascii="仿宋" w:hAnsi="仿宋" w:eastAsia="仿宋" w:cs="仿宋"/>
          <w:bCs/>
          <w:color w:val="000000" w:themeColor="text1"/>
          <w:sz w:val="32"/>
          <w:szCs w:val="32"/>
          <w14:textFill>
            <w14:solidFill>
              <w14:schemeClr w14:val="tx1"/>
            </w14:solidFill>
          </w14:textFill>
        </w:rPr>
        <w:t>1</w:t>
      </w:r>
      <w:r>
        <w:rPr>
          <w:rFonts w:hint="eastAsia" w:ascii="仿宋" w:hAnsi="仿宋" w:eastAsia="仿宋" w:cs="仿宋"/>
          <w:bCs/>
          <w:color w:val="000000" w:themeColor="text1"/>
          <w:sz w:val="32"/>
          <w:szCs w:val="32"/>
          <w:lang w:val="en-US" w:eastAsia="zh-CN"/>
          <w14:textFill>
            <w14:solidFill>
              <w14:schemeClr w14:val="tx1"/>
            </w14:solidFill>
          </w14:textFill>
        </w:rPr>
        <w:t>6</w:t>
      </w:r>
      <w:r>
        <w:rPr>
          <w:rFonts w:hint="eastAsia" w:ascii="仿宋" w:hAnsi="仿宋" w:eastAsia="仿宋" w:cs="仿宋"/>
          <w:color w:val="000000" w:themeColor="text1"/>
          <w:spacing w:val="8"/>
          <w:sz w:val="32"/>
          <w:szCs w:val="32"/>
          <w14:textFill>
            <w14:solidFill>
              <w14:schemeClr w14:val="tx1"/>
            </w14:solidFill>
          </w14:textFill>
        </w:rPr>
        <w:t>.1%</w:t>
      </w:r>
      <w:r>
        <w:rPr>
          <w:rFonts w:hint="eastAsia" w:ascii="仿宋" w:eastAsia="仿宋" w:cs="仿宋"/>
          <w:color w:val="000000" w:themeColor="text1"/>
          <w:sz w:val="32"/>
          <w:szCs w:val="32"/>
          <w14:textFill>
            <w14:solidFill>
              <w14:schemeClr w14:val="tx1"/>
            </w14:solidFill>
          </w14:textFill>
        </w:rPr>
        <w:t>，增速较上年同期</w:t>
      </w:r>
      <w:r>
        <w:rPr>
          <w:rFonts w:hint="eastAsia" w:ascii="仿宋" w:hAnsi="仿宋" w:eastAsia="仿宋" w:cs="仿宋"/>
          <w:color w:val="000000" w:themeColor="text1"/>
          <w:sz w:val="32"/>
          <w:szCs w:val="32"/>
          <w:lang w:eastAsia="zh-CN"/>
          <w14:textFill>
            <w14:solidFill>
              <w14:schemeClr w14:val="tx1"/>
            </w14:solidFill>
          </w14:textFill>
        </w:rPr>
        <w:t>回落</w:t>
      </w:r>
      <w:r>
        <w:rPr>
          <w:rFonts w:hint="eastAsia" w:ascii="仿宋" w:hAnsi="仿宋" w:eastAsia="仿宋" w:cs="仿宋"/>
          <w:color w:val="000000" w:themeColor="text1"/>
          <w:sz w:val="32"/>
          <w:szCs w:val="32"/>
          <w:lang w:val="en-US" w:eastAsia="zh-CN"/>
          <w14:textFill>
            <w14:solidFill>
              <w14:schemeClr w14:val="tx1"/>
            </w14:solidFill>
          </w14:textFill>
        </w:rPr>
        <w:t>113</w:t>
      </w:r>
      <w:r>
        <w:rPr>
          <w:rFonts w:hint="eastAsia" w:ascii="仿宋" w:eastAsia="仿宋" w:cs="仿宋"/>
          <w:color w:val="000000" w:themeColor="text1"/>
          <w:sz w:val="32"/>
          <w:szCs w:val="32"/>
          <w14:textFill>
            <w14:solidFill>
              <w14:schemeClr w14:val="tx1"/>
            </w14:solidFill>
          </w14:textFill>
        </w:rPr>
        <w:t>个百分点，占投资总额的</w:t>
      </w:r>
      <w:r>
        <w:rPr>
          <w:rFonts w:hint="eastAsia" w:ascii="仿宋" w:hAnsi="仿宋" w:eastAsia="仿宋" w:cs="仿宋"/>
          <w:color w:val="000000" w:themeColor="text1"/>
          <w:sz w:val="32"/>
          <w:szCs w:val="32"/>
          <w14:textFill>
            <w14:solidFill>
              <w14:schemeClr w14:val="tx1"/>
            </w14:solidFill>
          </w14:textFill>
        </w:rPr>
        <w:t>2</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bCs/>
          <w:color w:val="000000" w:themeColor="text1"/>
          <w:sz w:val="32"/>
          <w:szCs w:val="32"/>
          <w14:textFill>
            <w14:solidFill>
              <w14:schemeClr w14:val="tx1"/>
            </w14:solidFill>
          </w14:textFill>
        </w:rPr>
        <w:t>.</w:t>
      </w:r>
      <w:r>
        <w:rPr>
          <w:rFonts w:hint="eastAsia" w:ascii="仿宋" w:hAnsi="仿宋" w:eastAsia="仿宋" w:cs="仿宋"/>
          <w:bCs/>
          <w:color w:val="000000" w:themeColor="text1"/>
          <w:sz w:val="32"/>
          <w:szCs w:val="32"/>
          <w:lang w:val="en-US" w:eastAsia="zh-CN"/>
          <w14:textFill>
            <w14:solidFill>
              <w14:schemeClr w14:val="tx1"/>
            </w14:solidFill>
          </w14:textFill>
        </w:rPr>
        <w:t>2</w:t>
      </w:r>
      <w:r>
        <w:rPr>
          <w:rFonts w:hint="eastAsia" w:ascii="仿宋" w:eastAsia="仿宋" w:cs="仿宋"/>
          <w:color w:val="000000" w:themeColor="text1"/>
          <w:sz w:val="32"/>
          <w:szCs w:val="32"/>
          <w14:textFill>
            <w14:solidFill>
              <w14:schemeClr w14:val="tx1"/>
            </w14:solidFill>
          </w14:textFill>
        </w:rPr>
        <w:t>%；</w:t>
      </w:r>
      <w:r>
        <w:rPr>
          <w:rFonts w:hint="eastAsia" w:ascii="仿宋" w:eastAsia="仿宋"/>
          <w:color w:val="000000" w:themeColor="text1"/>
          <w:spacing w:val="8"/>
          <w:sz w:val="32"/>
          <w:szCs w:val="32"/>
          <w14:textFill>
            <w14:solidFill>
              <w14:schemeClr w14:val="tx1"/>
            </w14:solidFill>
          </w14:textFill>
        </w:rPr>
        <w:t>第三产业投资</w:t>
      </w:r>
      <w:r>
        <w:rPr>
          <w:rFonts w:hint="eastAsia" w:ascii="仿宋" w:hAnsi="仿宋" w:eastAsia="仿宋" w:cs="仿宋"/>
          <w:color w:val="000000" w:themeColor="text1"/>
          <w:spacing w:val="8"/>
          <w:sz w:val="32"/>
          <w:szCs w:val="32"/>
          <w:lang w:val="en-US" w:eastAsia="zh-CN"/>
          <w14:textFill>
            <w14:solidFill>
              <w14:schemeClr w14:val="tx1"/>
            </w14:solidFill>
          </w14:textFill>
        </w:rPr>
        <w:t>107.7</w:t>
      </w:r>
      <w:r>
        <w:rPr>
          <w:rFonts w:hint="eastAsia" w:ascii="仿宋" w:eastAsia="仿宋"/>
          <w:color w:val="000000" w:themeColor="text1"/>
          <w:spacing w:val="8"/>
          <w:sz w:val="32"/>
          <w:szCs w:val="32"/>
          <w14:textFill>
            <w14:solidFill>
              <w14:schemeClr w14:val="tx1"/>
            </w14:solidFill>
          </w14:textFill>
        </w:rPr>
        <w:t>亿元，同比</w:t>
      </w:r>
      <w:r>
        <w:rPr>
          <w:rFonts w:hint="eastAsia" w:ascii="仿宋" w:hAnsi="仿宋" w:eastAsia="仿宋" w:cs="仿宋"/>
          <w:color w:val="000000" w:themeColor="text1"/>
          <w:spacing w:val="8"/>
          <w:sz w:val="32"/>
          <w:szCs w:val="32"/>
          <w:lang w:eastAsia="zh-CN"/>
          <w14:textFill>
            <w14:solidFill>
              <w14:schemeClr w14:val="tx1"/>
            </w14:solidFill>
          </w14:textFill>
        </w:rPr>
        <w:t>增长</w:t>
      </w:r>
      <w:r>
        <w:rPr>
          <w:rFonts w:hint="eastAsia" w:ascii="仿宋" w:hAnsi="仿宋" w:eastAsia="仿宋" w:cs="仿宋"/>
          <w:color w:val="000000" w:themeColor="text1"/>
          <w:spacing w:val="8"/>
          <w:sz w:val="32"/>
          <w:szCs w:val="32"/>
          <w:lang w:val="en-US" w:eastAsia="zh-CN"/>
          <w14:textFill>
            <w14:solidFill>
              <w14:schemeClr w14:val="tx1"/>
            </w14:solidFill>
          </w14:textFill>
        </w:rPr>
        <w:t>12.5%</w:t>
      </w:r>
      <w:r>
        <w:rPr>
          <w:rFonts w:hint="eastAsia" w:ascii="仿宋" w:eastAsia="仿宋" w:cs="仿宋"/>
          <w:color w:val="000000" w:themeColor="text1"/>
          <w:sz w:val="32"/>
          <w:szCs w:val="32"/>
          <w14:textFill>
            <w14:solidFill>
              <w14:schemeClr w14:val="tx1"/>
            </w14:solidFill>
          </w14:textFill>
        </w:rPr>
        <w:t>，增速较上年同期回落</w:t>
      </w:r>
      <w:r>
        <w:rPr>
          <w:rFonts w:hint="eastAsia" w:ascii="仿宋" w:hAnsi="仿宋" w:eastAsia="仿宋" w:cs="仿宋"/>
          <w:color w:val="000000" w:themeColor="text1"/>
          <w:sz w:val="32"/>
          <w:szCs w:val="32"/>
          <w:lang w:val="en-US" w:eastAsia="zh-CN"/>
          <w14:textFill>
            <w14:solidFill>
              <w14:schemeClr w14:val="tx1"/>
            </w14:solidFill>
          </w14:textFill>
        </w:rPr>
        <w:t>6</w:t>
      </w:r>
      <w:r>
        <w:rPr>
          <w:rFonts w:hint="eastAsia" w:ascii="仿宋" w:eastAsia="仿宋" w:cs="仿宋"/>
          <w:color w:val="000000" w:themeColor="text1"/>
          <w:sz w:val="32"/>
          <w:szCs w:val="32"/>
          <w14:textFill>
            <w14:solidFill>
              <w14:schemeClr w14:val="tx1"/>
            </w14:solidFill>
          </w14:textFill>
        </w:rPr>
        <w:t>个百分点，</w:t>
      </w:r>
      <w:r>
        <w:rPr>
          <w:rFonts w:hint="eastAsia" w:ascii="仿宋" w:eastAsia="仿宋"/>
          <w:color w:val="000000" w:themeColor="text1"/>
          <w:spacing w:val="8"/>
          <w:sz w:val="32"/>
          <w:szCs w:val="32"/>
          <w14:textFill>
            <w14:solidFill>
              <w14:schemeClr w14:val="tx1"/>
            </w14:solidFill>
          </w14:textFill>
        </w:rPr>
        <w:t>占</w:t>
      </w:r>
      <w:r>
        <w:rPr>
          <w:rFonts w:hint="eastAsia" w:ascii="仿宋" w:eastAsia="仿宋" w:cs="仿宋"/>
          <w:color w:val="000000" w:themeColor="text1"/>
          <w:sz w:val="32"/>
          <w:szCs w:val="32"/>
          <w14:textFill>
            <w14:solidFill>
              <w14:schemeClr w14:val="tx1"/>
            </w14:solidFill>
          </w14:textFill>
        </w:rPr>
        <w:t>投资总额的</w:t>
      </w:r>
      <w:r>
        <w:rPr>
          <w:rFonts w:hint="eastAsia" w:ascii="仿宋" w:hAnsi="仿宋" w:eastAsia="仿宋" w:cs="仿宋"/>
          <w:color w:val="000000" w:themeColor="text1"/>
          <w:sz w:val="32"/>
          <w:szCs w:val="32"/>
          <w14:textFill>
            <w14:solidFill>
              <w14:schemeClr w14:val="tx1"/>
            </w14:solidFill>
          </w14:textFill>
        </w:rPr>
        <w:t>7</w:t>
      </w:r>
      <w:r>
        <w:rPr>
          <w:rFonts w:hint="eastAsia" w:ascii="仿宋" w:hAnsi="仿宋" w:eastAsia="仿宋" w:cs="仿宋"/>
          <w:color w:val="000000" w:themeColor="text1"/>
          <w:sz w:val="32"/>
          <w:szCs w:val="32"/>
          <w:lang w:val="en-US" w:eastAsia="zh-CN"/>
          <w14:textFill>
            <w14:solidFill>
              <w14:schemeClr w14:val="tx1"/>
            </w14:solidFill>
          </w14:textFill>
        </w:rPr>
        <w:t>8</w:t>
      </w:r>
      <w:r>
        <w:rPr>
          <w:rFonts w:hint="eastAsia" w:ascii="仿宋" w:hAnsi="仿宋" w:eastAsia="仿宋" w:cs="仿宋"/>
          <w:color w:val="000000" w:themeColor="text1"/>
          <w:spacing w:val="8"/>
          <w:sz w:val="32"/>
          <w:szCs w:val="32"/>
          <w14:textFill>
            <w14:solidFill>
              <w14:schemeClr w14:val="tx1"/>
            </w14:solidFill>
          </w14:textFill>
        </w:rPr>
        <w:t>.</w:t>
      </w:r>
      <w:r>
        <w:rPr>
          <w:rFonts w:hint="eastAsia" w:ascii="仿宋" w:hAnsi="仿宋" w:eastAsia="仿宋" w:cs="仿宋"/>
          <w:color w:val="000000" w:themeColor="text1"/>
          <w:spacing w:val="8"/>
          <w:sz w:val="32"/>
          <w:szCs w:val="32"/>
          <w:lang w:val="en-US" w:eastAsia="zh-CN"/>
          <w14:textFill>
            <w14:solidFill>
              <w14:schemeClr w14:val="tx1"/>
            </w14:solidFill>
          </w14:textFill>
        </w:rPr>
        <w:t>8</w:t>
      </w:r>
      <w:r>
        <w:rPr>
          <w:rFonts w:hint="eastAsia" w:ascii="仿宋" w:eastAsia="仿宋"/>
          <w:color w:val="000000" w:themeColor="text1"/>
          <w:spacing w:val="8"/>
          <w:sz w:val="32"/>
          <w:szCs w:val="32"/>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在全部投资中</w:t>
      </w:r>
      <w:r>
        <w:rPr>
          <w:rFonts w:hint="eastAsia" w:ascii="仿宋" w:hAnsi="仿宋" w:eastAsia="仿宋" w:cs="仿宋"/>
          <w:color w:val="000000" w:themeColor="text1"/>
          <w:sz w:val="32"/>
          <w:szCs w:val="32"/>
          <w:lang w:eastAsia="zh-CN"/>
          <w14:textFill>
            <w14:solidFill>
              <w14:schemeClr w14:val="tx1"/>
            </w14:solidFill>
          </w14:textFill>
        </w:rPr>
        <w:t>，第二产业和第三产业投资均呈增长态势，</w:t>
      </w:r>
      <w:r>
        <w:rPr>
          <w:rFonts w:hint="eastAsia" w:ascii="仿宋" w:hAnsi="仿宋" w:eastAsia="仿宋" w:cs="仿宋"/>
          <w:color w:val="000000" w:themeColor="text1"/>
          <w:sz w:val="32"/>
          <w:szCs w:val="32"/>
          <w14:textFill>
            <w14:solidFill>
              <w14:schemeClr w14:val="tx1"/>
            </w14:solidFill>
          </w14:textFill>
        </w:rPr>
        <w:t>第三产业所占比重较大，</w:t>
      </w:r>
      <w:r>
        <w:rPr>
          <w:rFonts w:hint="eastAsia" w:ascii="仿宋" w:hAnsi="仿宋" w:eastAsia="仿宋" w:cs="仿宋"/>
          <w:color w:val="000000" w:themeColor="text1"/>
          <w:sz w:val="32"/>
          <w:szCs w:val="32"/>
          <w:lang w:eastAsia="zh-CN"/>
          <w14:textFill>
            <w14:solidFill>
              <w14:schemeClr w14:val="tx1"/>
            </w14:solidFill>
          </w14:textFill>
        </w:rPr>
        <w:t>投资作用明显，</w:t>
      </w:r>
      <w:r>
        <w:rPr>
          <w:rFonts w:hint="eastAsia" w:ascii="仿宋" w:hAnsi="仿宋" w:eastAsia="仿宋" w:cs="仿宋"/>
          <w:color w:val="000000" w:themeColor="text1"/>
          <w:sz w:val="32"/>
          <w:szCs w:val="32"/>
          <w14:textFill>
            <w14:solidFill>
              <w14:schemeClr w14:val="tx1"/>
            </w14:solidFill>
          </w14:textFill>
        </w:rPr>
        <w:t>拉动</w:t>
      </w:r>
      <w:r>
        <w:rPr>
          <w:rFonts w:hint="eastAsia" w:ascii="仿宋" w:hAnsi="仿宋" w:eastAsia="仿宋" w:cs="仿宋"/>
          <w:color w:val="000000" w:themeColor="text1"/>
          <w:sz w:val="32"/>
          <w:szCs w:val="32"/>
          <w:lang w:eastAsia="zh-CN"/>
          <w14:textFill>
            <w14:solidFill>
              <w14:schemeClr w14:val="tx1"/>
            </w14:solidFill>
          </w14:textFill>
        </w:rPr>
        <w:t>全区</w:t>
      </w:r>
      <w:r>
        <w:rPr>
          <w:rFonts w:hint="eastAsia" w:ascii="仿宋" w:hAnsi="仿宋" w:eastAsia="仿宋" w:cs="仿宋"/>
          <w:color w:val="000000" w:themeColor="text1"/>
          <w:sz w:val="32"/>
          <w:szCs w:val="32"/>
          <w14:textFill>
            <w14:solidFill>
              <w14:schemeClr w14:val="tx1"/>
            </w14:solidFill>
          </w14:textFill>
        </w:rPr>
        <w:t>固定资产投资增长</w:t>
      </w:r>
      <w:r>
        <w:rPr>
          <w:rFonts w:hint="eastAsia" w:ascii="仿宋" w:hAnsi="仿宋" w:eastAsia="仿宋" w:cs="仿宋"/>
          <w:color w:val="000000" w:themeColor="text1"/>
          <w:sz w:val="32"/>
          <w:szCs w:val="32"/>
          <w:lang w:val="en-US" w:eastAsia="zh-CN"/>
          <w14:textFill>
            <w14:solidFill>
              <w14:schemeClr w14:val="tx1"/>
            </w14:solidFill>
          </w14:textFill>
        </w:rPr>
        <w:t>9</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9</w:t>
      </w:r>
      <w:r>
        <w:rPr>
          <w:rFonts w:hint="eastAsia" w:ascii="仿宋" w:hAnsi="仿宋" w:eastAsia="仿宋" w:cs="仿宋"/>
          <w:color w:val="000000" w:themeColor="text1"/>
          <w:sz w:val="32"/>
          <w:szCs w:val="32"/>
          <w14:textFill>
            <w14:solidFill>
              <w14:schemeClr w14:val="tx1"/>
            </w14:solidFill>
          </w14:textFill>
        </w:rPr>
        <w:t>个百分点。</w:t>
      </w:r>
    </w:p>
    <w:tbl>
      <w:tblPr>
        <w:tblStyle w:val="10"/>
        <w:tblpPr w:leftFromText="180" w:rightFromText="180" w:vertAnchor="text" w:horzAnchor="page" w:tblpX="2285" w:tblpY="361"/>
        <w:tblOverlap w:val="never"/>
        <w:tblW w:w="75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13"/>
        <w:gridCol w:w="2513"/>
        <w:gridCol w:w="2514"/>
      </w:tblGrid>
      <w:tr w14:paraId="0DA4E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7540" w:type="dxa"/>
            <w:gridSpan w:val="3"/>
            <w:tcBorders>
              <w:top w:val="nil"/>
              <w:left w:val="nil"/>
              <w:bottom w:val="nil"/>
              <w:right w:val="nil"/>
            </w:tcBorders>
            <w:noWrap/>
            <w:vAlign w:val="bottom"/>
          </w:tcPr>
          <w:p w14:paraId="334EAEBE">
            <w:pPr>
              <w:keepNext w:val="0"/>
              <w:keepLines w:val="0"/>
              <w:pageBreakBefore w:val="0"/>
              <w:widowControl w:val="0"/>
              <w:kinsoku/>
              <w:wordWrap/>
              <w:overflowPunct/>
              <w:topLinePunct w:val="0"/>
              <w:autoSpaceDE/>
              <w:autoSpaceDN/>
              <w:bidi w:val="0"/>
              <w:adjustRightInd/>
              <w:snapToGrid/>
              <w:spacing w:line="440" w:lineRule="exact"/>
              <w:jc w:val="center"/>
              <w:rPr>
                <w:rFonts w:ascii="仿宋" w:eastAsia="仿宋" w:cs="Arial"/>
                <w:b/>
                <w:bCs/>
                <w:color w:val="000000" w:themeColor="text1"/>
                <w:szCs w:val="32"/>
                <w14:textFill>
                  <w14:solidFill>
                    <w14:schemeClr w14:val="tx1"/>
                  </w14:solidFill>
                </w14:textFill>
              </w:rPr>
            </w:pPr>
            <w:r>
              <w:rPr>
                <w:rFonts w:hint="eastAsia" w:ascii="宋体" w:eastAsia="宋体" w:cs="宋体"/>
                <w:b/>
                <w:bCs/>
                <w:color w:val="000000" w:themeColor="text1"/>
                <w:sz w:val="28"/>
                <w:szCs w:val="28"/>
                <w:lang w:eastAsia="zh-CN"/>
                <w14:textFill>
                  <w14:solidFill>
                    <w14:schemeClr w14:val="tx1"/>
                  </w14:solidFill>
                </w14:textFill>
              </w:rPr>
              <w:t>1-12月份固定资产投资产业构成情况</w:t>
            </w:r>
          </w:p>
        </w:tc>
      </w:tr>
      <w:tr w14:paraId="5C8A7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2513" w:type="dxa"/>
            <w:tcBorders>
              <w:top w:val="single" w:color="auto" w:sz="4" w:space="0"/>
              <w:left w:val="nil"/>
              <w:bottom w:val="single" w:color="auto" w:sz="4" w:space="0"/>
              <w:right w:val="single" w:color="auto" w:sz="4" w:space="0"/>
            </w:tcBorders>
            <w:vAlign w:val="bottom"/>
          </w:tcPr>
          <w:p w14:paraId="2B47BE93">
            <w:pPr>
              <w:keepNext w:val="0"/>
              <w:keepLines w:val="0"/>
              <w:pageBreakBefore w:val="0"/>
              <w:widowControl w:val="0"/>
              <w:kinsoku/>
              <w:wordWrap/>
              <w:overflowPunct/>
              <w:topLinePunct w:val="0"/>
              <w:autoSpaceDE/>
              <w:autoSpaceDN/>
              <w:bidi w:val="0"/>
              <w:adjustRightInd/>
              <w:snapToGrid/>
              <w:spacing w:line="440" w:lineRule="exact"/>
              <w:jc w:val="center"/>
              <w:rPr>
                <w:rFonts w:hint="eastAsia" w:ascii="仿宋" w:eastAsia="仿宋" w:cs="Arial"/>
                <w:b/>
                <w:bCs/>
                <w:color w:val="000000" w:themeColor="text1"/>
                <w:sz w:val="28"/>
                <w:szCs w:val="28"/>
                <w:lang w:val="en-US" w:eastAsia="zh-CN"/>
                <w14:textFill>
                  <w14:solidFill>
                    <w14:schemeClr w14:val="tx1"/>
                  </w14:solidFill>
                </w14:textFill>
              </w:rPr>
            </w:pPr>
            <w:r>
              <w:rPr>
                <w:rFonts w:hint="eastAsia" w:ascii="仿宋" w:eastAsia="仿宋" w:cs="Arial"/>
                <w:b/>
                <w:bCs/>
                <w:color w:val="000000" w:themeColor="text1"/>
                <w:sz w:val="28"/>
                <w:szCs w:val="28"/>
                <w:lang w:val="en-US" w:eastAsia="zh-CN"/>
                <w14:textFill>
                  <w14:solidFill>
                    <w14:schemeClr w14:val="tx1"/>
                  </w14:solidFill>
                </w14:textFill>
              </w:rPr>
              <w:t>分 类</w:t>
            </w:r>
          </w:p>
        </w:tc>
        <w:tc>
          <w:tcPr>
            <w:tcW w:w="2513" w:type="dxa"/>
            <w:tcBorders>
              <w:top w:val="single" w:color="auto" w:sz="4" w:space="0"/>
              <w:left w:val="nil"/>
              <w:bottom w:val="single" w:color="auto" w:sz="4" w:space="0"/>
              <w:right w:val="single" w:color="auto" w:sz="4" w:space="0"/>
            </w:tcBorders>
            <w:vAlign w:val="bottom"/>
          </w:tcPr>
          <w:p w14:paraId="2BE72D21">
            <w:pPr>
              <w:keepNext w:val="0"/>
              <w:keepLines w:val="0"/>
              <w:pageBreakBefore w:val="0"/>
              <w:widowControl w:val="0"/>
              <w:kinsoku/>
              <w:wordWrap/>
              <w:overflowPunct/>
              <w:topLinePunct w:val="0"/>
              <w:autoSpaceDE/>
              <w:autoSpaceDN/>
              <w:bidi w:val="0"/>
              <w:adjustRightInd/>
              <w:snapToGrid/>
              <w:spacing w:line="440" w:lineRule="exact"/>
              <w:jc w:val="center"/>
              <w:rPr>
                <w:rFonts w:hint="eastAsia" w:ascii="仿宋" w:eastAsia="仿宋" w:cs="Arial"/>
                <w:b/>
                <w:bCs/>
                <w:color w:val="000000" w:themeColor="text1"/>
                <w:sz w:val="28"/>
                <w:szCs w:val="28"/>
                <w:lang w:val="en-US" w:eastAsia="zh-CN"/>
                <w14:textFill>
                  <w14:solidFill>
                    <w14:schemeClr w14:val="tx1"/>
                  </w14:solidFill>
                </w14:textFill>
              </w:rPr>
            </w:pPr>
            <w:r>
              <w:rPr>
                <w:rFonts w:hint="eastAsia" w:ascii="仿宋" w:eastAsia="仿宋" w:cs="Arial"/>
                <w:b/>
                <w:bCs/>
                <w:color w:val="000000" w:themeColor="text1"/>
                <w:sz w:val="28"/>
                <w:szCs w:val="28"/>
                <w:lang w:val="en-US" w:eastAsia="zh-CN"/>
                <w14:textFill>
                  <w14:solidFill>
                    <w14:schemeClr w14:val="tx1"/>
                  </w14:solidFill>
                </w14:textFill>
              </w:rPr>
              <w:t>投资额（亿元）</w:t>
            </w:r>
          </w:p>
        </w:tc>
        <w:tc>
          <w:tcPr>
            <w:tcW w:w="2514" w:type="dxa"/>
            <w:tcBorders>
              <w:top w:val="single" w:color="auto" w:sz="4" w:space="0"/>
              <w:left w:val="nil"/>
              <w:bottom w:val="single" w:color="auto" w:sz="4" w:space="0"/>
              <w:right w:val="nil"/>
            </w:tcBorders>
            <w:vAlign w:val="bottom"/>
          </w:tcPr>
          <w:p w14:paraId="79DC3CD3">
            <w:pPr>
              <w:keepNext w:val="0"/>
              <w:keepLines w:val="0"/>
              <w:pageBreakBefore w:val="0"/>
              <w:widowControl w:val="0"/>
              <w:kinsoku/>
              <w:wordWrap/>
              <w:overflowPunct/>
              <w:topLinePunct w:val="0"/>
              <w:autoSpaceDE/>
              <w:autoSpaceDN/>
              <w:bidi w:val="0"/>
              <w:adjustRightInd/>
              <w:snapToGrid/>
              <w:spacing w:line="440" w:lineRule="exact"/>
              <w:jc w:val="center"/>
              <w:rPr>
                <w:rFonts w:hint="eastAsia" w:ascii="仿宋" w:eastAsia="仿宋" w:cs="Arial"/>
                <w:b/>
                <w:bCs/>
                <w:color w:val="000000" w:themeColor="text1"/>
                <w:sz w:val="28"/>
                <w:szCs w:val="28"/>
                <w:lang w:val="en-US" w:eastAsia="zh-CN"/>
                <w14:textFill>
                  <w14:solidFill>
                    <w14:schemeClr w14:val="tx1"/>
                  </w14:solidFill>
                </w14:textFill>
              </w:rPr>
            </w:pPr>
            <w:r>
              <w:rPr>
                <w:rFonts w:hint="eastAsia" w:ascii="仿宋" w:eastAsia="仿宋" w:cs="Arial"/>
                <w:b/>
                <w:bCs/>
                <w:color w:val="000000" w:themeColor="text1"/>
                <w:sz w:val="28"/>
                <w:szCs w:val="28"/>
                <w14:textFill>
                  <w14:solidFill>
                    <w14:schemeClr w14:val="tx1"/>
                  </w14:solidFill>
                </w14:textFill>
              </w:rPr>
              <w:t>占比 (%)</w:t>
            </w:r>
          </w:p>
        </w:tc>
      </w:tr>
      <w:tr w14:paraId="1AB07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2513" w:type="dxa"/>
            <w:tcBorders>
              <w:top w:val="nil"/>
              <w:left w:val="nil"/>
              <w:bottom w:val="single" w:color="auto" w:sz="4" w:space="0"/>
              <w:right w:val="single" w:color="auto" w:sz="4" w:space="0"/>
            </w:tcBorders>
            <w:vAlign w:val="bottom"/>
          </w:tcPr>
          <w:p w14:paraId="4B55761A">
            <w:pPr>
              <w:keepNext w:val="0"/>
              <w:keepLines w:val="0"/>
              <w:pageBreakBefore w:val="0"/>
              <w:widowControl w:val="0"/>
              <w:kinsoku/>
              <w:wordWrap/>
              <w:overflowPunct/>
              <w:topLinePunct w:val="0"/>
              <w:autoSpaceDE/>
              <w:autoSpaceDN/>
              <w:bidi w:val="0"/>
              <w:adjustRightInd/>
              <w:snapToGrid/>
              <w:spacing w:line="440" w:lineRule="exact"/>
              <w:jc w:val="center"/>
              <w:rPr>
                <w:rFonts w:hint="eastAsia" w:ascii="仿宋" w:eastAsia="仿宋" w:cs="Arial"/>
                <w:color w:val="000000" w:themeColor="text1"/>
                <w:sz w:val="28"/>
                <w:szCs w:val="28"/>
                <w:lang w:val="en-US" w:eastAsia="zh-CN"/>
                <w14:textFill>
                  <w14:solidFill>
                    <w14:schemeClr w14:val="tx1"/>
                  </w14:solidFill>
                </w14:textFill>
              </w:rPr>
            </w:pPr>
            <w:r>
              <w:rPr>
                <w:rFonts w:hint="eastAsia" w:ascii="仿宋" w:eastAsia="仿宋" w:cs="Arial"/>
                <w:color w:val="000000" w:themeColor="text1"/>
                <w:sz w:val="28"/>
                <w:szCs w:val="28"/>
                <w:lang w:val="en-US" w:eastAsia="zh-CN"/>
                <w14:textFill>
                  <w14:solidFill>
                    <w14:schemeClr w14:val="tx1"/>
                  </w14:solidFill>
                </w14:textFill>
              </w:rPr>
              <w:t>总 投 资</w:t>
            </w:r>
          </w:p>
        </w:tc>
        <w:tc>
          <w:tcPr>
            <w:tcW w:w="2513" w:type="dxa"/>
            <w:tcBorders>
              <w:top w:val="nil"/>
              <w:left w:val="nil"/>
              <w:bottom w:val="single" w:color="auto" w:sz="4" w:space="0"/>
              <w:right w:val="single" w:color="auto" w:sz="4" w:space="0"/>
            </w:tcBorders>
            <w:vAlign w:val="bottom"/>
          </w:tcPr>
          <w:p w14:paraId="15CD5F11">
            <w:pPr>
              <w:keepNext w:val="0"/>
              <w:keepLines w:val="0"/>
              <w:pageBreakBefore w:val="0"/>
              <w:widowControl w:val="0"/>
              <w:kinsoku/>
              <w:wordWrap/>
              <w:overflowPunct/>
              <w:topLinePunct w:val="0"/>
              <w:autoSpaceDE/>
              <w:autoSpaceDN/>
              <w:bidi w:val="0"/>
              <w:adjustRightInd/>
              <w:snapToGrid/>
              <w:spacing w:line="440" w:lineRule="exact"/>
              <w:jc w:val="center"/>
              <w:rPr>
                <w:rFonts w:hint="default" w:ascii="仿宋" w:eastAsia="仿宋" w:cs="Arial"/>
                <w:color w:val="000000" w:themeColor="text1"/>
                <w:sz w:val="28"/>
                <w:szCs w:val="28"/>
                <w:lang w:val="en-US" w:eastAsia="zh-CN"/>
                <w14:textFill>
                  <w14:solidFill>
                    <w14:schemeClr w14:val="tx1"/>
                  </w14:solidFill>
                </w14:textFill>
              </w:rPr>
            </w:pPr>
            <w:r>
              <w:rPr>
                <w:rFonts w:hint="eastAsia" w:ascii="仿宋" w:eastAsia="仿宋" w:cs="Arial"/>
                <w:color w:val="000000" w:themeColor="text1"/>
                <w:sz w:val="28"/>
                <w:szCs w:val="28"/>
                <w:lang w:val="en-US" w:eastAsia="zh-CN"/>
                <w14:textFill>
                  <w14:solidFill>
                    <w14:schemeClr w14:val="tx1"/>
                  </w14:solidFill>
                </w14:textFill>
              </w:rPr>
              <w:t>136.6</w:t>
            </w:r>
          </w:p>
        </w:tc>
        <w:tc>
          <w:tcPr>
            <w:tcW w:w="2514" w:type="dxa"/>
            <w:tcBorders>
              <w:top w:val="nil"/>
              <w:left w:val="nil"/>
              <w:bottom w:val="single" w:color="auto" w:sz="4" w:space="0"/>
              <w:right w:val="nil"/>
            </w:tcBorders>
            <w:vAlign w:val="bottom"/>
          </w:tcPr>
          <w:p w14:paraId="7150051F">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right"/>
              <w:rPr>
                <w:rFonts w:ascii="仿宋" w:eastAsia="仿宋" w:cs="Arial"/>
                <w:color w:val="000000" w:themeColor="text1"/>
                <w:sz w:val="28"/>
                <w:szCs w:val="28"/>
                <w:lang w:val="en-US" w:eastAsia="zh-CN"/>
                <w14:textFill>
                  <w14:solidFill>
                    <w14:schemeClr w14:val="tx1"/>
                  </w14:solidFill>
                </w14:textFill>
              </w:rPr>
            </w:pPr>
            <w:r>
              <w:rPr>
                <w:rFonts w:hint="eastAsia" w:ascii="仿宋" w:eastAsia="仿宋" w:cs="Arial"/>
                <w:color w:val="000000" w:themeColor="text1"/>
                <w:sz w:val="28"/>
                <w:szCs w:val="28"/>
                <w14:textFill>
                  <w14:solidFill>
                    <w14:schemeClr w14:val="tx1"/>
                  </w14:solidFill>
                </w14:textFill>
              </w:rPr>
              <w:t>—　</w:t>
            </w:r>
          </w:p>
        </w:tc>
      </w:tr>
      <w:tr w14:paraId="59EDB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2513" w:type="dxa"/>
            <w:tcBorders>
              <w:top w:val="nil"/>
              <w:left w:val="nil"/>
              <w:bottom w:val="single" w:color="auto" w:sz="4" w:space="0"/>
              <w:right w:val="single" w:color="auto" w:sz="4" w:space="0"/>
            </w:tcBorders>
            <w:vAlign w:val="bottom"/>
          </w:tcPr>
          <w:p w14:paraId="07A33174">
            <w:pPr>
              <w:keepNext w:val="0"/>
              <w:keepLines w:val="0"/>
              <w:pageBreakBefore w:val="0"/>
              <w:widowControl w:val="0"/>
              <w:kinsoku/>
              <w:wordWrap/>
              <w:overflowPunct/>
              <w:topLinePunct w:val="0"/>
              <w:autoSpaceDE/>
              <w:autoSpaceDN/>
              <w:bidi w:val="0"/>
              <w:adjustRightInd/>
              <w:snapToGrid/>
              <w:spacing w:line="440" w:lineRule="exact"/>
              <w:jc w:val="center"/>
              <w:rPr>
                <w:rFonts w:hint="eastAsia" w:ascii="仿宋" w:eastAsia="仿宋" w:cs="Arial"/>
                <w:color w:val="000000" w:themeColor="text1"/>
                <w:sz w:val="28"/>
                <w:szCs w:val="28"/>
                <w:lang w:val="en-US" w:eastAsia="zh-CN"/>
                <w14:textFill>
                  <w14:solidFill>
                    <w14:schemeClr w14:val="tx1"/>
                  </w14:solidFill>
                </w14:textFill>
              </w:rPr>
            </w:pPr>
            <w:r>
              <w:rPr>
                <w:rFonts w:hint="eastAsia" w:ascii="仿宋" w:eastAsia="仿宋" w:cs="Arial"/>
                <w:color w:val="000000" w:themeColor="text1"/>
                <w:sz w:val="28"/>
                <w:szCs w:val="28"/>
                <w:lang w:val="en-US" w:eastAsia="zh-CN"/>
                <w14:textFill>
                  <w14:solidFill>
                    <w14:schemeClr w14:val="tx1"/>
                  </w14:solidFill>
                </w14:textFill>
              </w:rPr>
              <w:t>第一产业投资</w:t>
            </w:r>
          </w:p>
        </w:tc>
        <w:tc>
          <w:tcPr>
            <w:tcW w:w="2513" w:type="dxa"/>
            <w:tcBorders>
              <w:top w:val="nil"/>
              <w:left w:val="nil"/>
              <w:bottom w:val="single" w:color="auto" w:sz="4" w:space="0"/>
              <w:right w:val="single" w:color="auto" w:sz="4" w:space="0"/>
            </w:tcBorders>
            <w:vAlign w:val="bottom"/>
          </w:tcPr>
          <w:p w14:paraId="6C652FE6">
            <w:pPr>
              <w:keepNext w:val="0"/>
              <w:keepLines w:val="0"/>
              <w:pageBreakBefore w:val="0"/>
              <w:widowControl w:val="0"/>
              <w:kinsoku/>
              <w:wordWrap/>
              <w:overflowPunct/>
              <w:topLinePunct w:val="0"/>
              <w:autoSpaceDE/>
              <w:autoSpaceDN/>
              <w:bidi w:val="0"/>
              <w:adjustRightInd/>
              <w:snapToGrid/>
              <w:spacing w:line="440" w:lineRule="exact"/>
              <w:jc w:val="center"/>
              <w:rPr>
                <w:rFonts w:hint="eastAsia" w:ascii="仿宋" w:eastAsia="仿宋" w:cs="Arial"/>
                <w:color w:val="000000" w:themeColor="text1"/>
                <w:sz w:val="28"/>
                <w:szCs w:val="28"/>
                <w:lang w:val="en-US" w:eastAsia="zh-CN"/>
                <w14:textFill>
                  <w14:solidFill>
                    <w14:schemeClr w14:val="tx1"/>
                  </w14:solidFill>
                </w14:textFill>
              </w:rPr>
            </w:pPr>
            <w:r>
              <w:rPr>
                <w:rFonts w:hint="eastAsia" w:ascii="仿宋" w:eastAsia="仿宋" w:cs="Arial"/>
                <w:color w:val="000000" w:themeColor="text1"/>
                <w:sz w:val="28"/>
                <w:szCs w:val="28"/>
                <w:lang w:val="en-US" w:eastAsia="zh-CN"/>
                <w14:textFill>
                  <w14:solidFill>
                    <w14:schemeClr w14:val="tx1"/>
                  </w14:solidFill>
                </w14:textFill>
              </w:rPr>
              <w:t>0</w:t>
            </w:r>
          </w:p>
        </w:tc>
        <w:tc>
          <w:tcPr>
            <w:tcW w:w="2514" w:type="dxa"/>
            <w:tcBorders>
              <w:top w:val="nil"/>
              <w:left w:val="nil"/>
              <w:bottom w:val="single" w:color="auto" w:sz="4" w:space="0"/>
              <w:right w:val="nil"/>
            </w:tcBorders>
            <w:vAlign w:val="bottom"/>
          </w:tcPr>
          <w:p w14:paraId="2CCC1762">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right"/>
              <w:rPr>
                <w:rFonts w:hint="eastAsia" w:ascii="仿宋" w:eastAsia="仿宋" w:cs="Arial"/>
                <w:color w:val="000000" w:themeColor="text1"/>
                <w:sz w:val="28"/>
                <w:szCs w:val="28"/>
                <w:lang w:val="en-US" w:eastAsia="zh-CN"/>
                <w14:textFill>
                  <w14:solidFill>
                    <w14:schemeClr w14:val="tx1"/>
                  </w14:solidFill>
                </w14:textFill>
              </w:rPr>
            </w:pPr>
            <w:r>
              <w:rPr>
                <w:rFonts w:hint="eastAsia" w:ascii="仿宋" w:eastAsia="仿宋" w:cs="宋体"/>
                <w:color w:val="000000" w:themeColor="text1"/>
                <w:sz w:val="28"/>
                <w:szCs w:val="28"/>
                <w14:textFill>
                  <w14:solidFill>
                    <w14:schemeClr w14:val="tx1"/>
                  </w14:solidFill>
                </w14:textFill>
              </w:rPr>
              <w:t>0</w:t>
            </w:r>
          </w:p>
        </w:tc>
      </w:tr>
      <w:tr w14:paraId="78BFB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2513" w:type="dxa"/>
            <w:tcBorders>
              <w:top w:val="nil"/>
              <w:left w:val="nil"/>
              <w:bottom w:val="single" w:color="auto" w:sz="4" w:space="0"/>
              <w:right w:val="single" w:color="auto" w:sz="4" w:space="0"/>
            </w:tcBorders>
            <w:vAlign w:val="bottom"/>
          </w:tcPr>
          <w:p w14:paraId="5FA459DB">
            <w:pPr>
              <w:keepNext w:val="0"/>
              <w:keepLines w:val="0"/>
              <w:pageBreakBefore w:val="0"/>
              <w:widowControl w:val="0"/>
              <w:kinsoku/>
              <w:wordWrap/>
              <w:overflowPunct/>
              <w:topLinePunct w:val="0"/>
              <w:autoSpaceDE/>
              <w:autoSpaceDN/>
              <w:bidi w:val="0"/>
              <w:adjustRightInd/>
              <w:snapToGrid/>
              <w:spacing w:line="440" w:lineRule="exact"/>
              <w:jc w:val="center"/>
              <w:rPr>
                <w:rFonts w:hint="eastAsia" w:ascii="仿宋" w:eastAsia="仿宋" w:cs="Arial"/>
                <w:color w:val="000000" w:themeColor="text1"/>
                <w:sz w:val="28"/>
                <w:szCs w:val="28"/>
                <w:lang w:val="en-US" w:eastAsia="zh-CN"/>
                <w14:textFill>
                  <w14:solidFill>
                    <w14:schemeClr w14:val="tx1"/>
                  </w14:solidFill>
                </w14:textFill>
              </w:rPr>
            </w:pPr>
            <w:r>
              <w:rPr>
                <w:rFonts w:hint="eastAsia" w:ascii="仿宋" w:eastAsia="仿宋" w:cs="Arial"/>
                <w:color w:val="000000" w:themeColor="text1"/>
                <w:sz w:val="28"/>
                <w:szCs w:val="28"/>
                <w:lang w:val="en-US" w:eastAsia="zh-CN"/>
                <w14:textFill>
                  <w14:solidFill>
                    <w14:schemeClr w14:val="tx1"/>
                  </w14:solidFill>
                </w14:textFill>
              </w:rPr>
              <w:t>第二产业投资</w:t>
            </w:r>
          </w:p>
        </w:tc>
        <w:tc>
          <w:tcPr>
            <w:tcW w:w="2513" w:type="dxa"/>
            <w:tcBorders>
              <w:top w:val="nil"/>
              <w:left w:val="nil"/>
              <w:bottom w:val="single" w:color="auto" w:sz="4" w:space="0"/>
              <w:right w:val="single" w:color="auto" w:sz="4" w:space="0"/>
            </w:tcBorders>
            <w:vAlign w:val="bottom"/>
          </w:tcPr>
          <w:p w14:paraId="5CAC3090">
            <w:pPr>
              <w:keepNext w:val="0"/>
              <w:keepLines w:val="0"/>
              <w:pageBreakBefore w:val="0"/>
              <w:widowControl w:val="0"/>
              <w:kinsoku/>
              <w:wordWrap/>
              <w:overflowPunct/>
              <w:topLinePunct w:val="0"/>
              <w:autoSpaceDE/>
              <w:autoSpaceDN/>
              <w:bidi w:val="0"/>
              <w:adjustRightInd/>
              <w:snapToGrid/>
              <w:spacing w:line="440" w:lineRule="exact"/>
              <w:jc w:val="center"/>
              <w:rPr>
                <w:rFonts w:hint="default" w:ascii="仿宋" w:eastAsia="仿宋" w:cs="Arial"/>
                <w:color w:val="000000" w:themeColor="text1"/>
                <w:sz w:val="28"/>
                <w:szCs w:val="28"/>
                <w:lang w:val="en-US" w:eastAsia="zh-CN"/>
                <w14:textFill>
                  <w14:solidFill>
                    <w14:schemeClr w14:val="tx1"/>
                  </w14:solidFill>
                </w14:textFill>
              </w:rPr>
            </w:pPr>
            <w:r>
              <w:rPr>
                <w:rFonts w:hint="eastAsia" w:ascii="仿宋" w:eastAsia="仿宋" w:cs="Arial"/>
                <w:color w:val="000000" w:themeColor="text1"/>
                <w:sz w:val="28"/>
                <w:szCs w:val="28"/>
                <w:lang w:val="en-US" w:eastAsia="zh-CN"/>
                <w14:textFill>
                  <w14:solidFill>
                    <w14:schemeClr w14:val="tx1"/>
                  </w14:solidFill>
                </w14:textFill>
              </w:rPr>
              <w:t>28.9</w:t>
            </w:r>
          </w:p>
        </w:tc>
        <w:tc>
          <w:tcPr>
            <w:tcW w:w="2514" w:type="dxa"/>
            <w:tcBorders>
              <w:top w:val="nil"/>
              <w:left w:val="nil"/>
              <w:bottom w:val="single" w:color="auto" w:sz="4" w:space="0"/>
              <w:right w:val="nil"/>
            </w:tcBorders>
            <w:vAlign w:val="bottom"/>
          </w:tcPr>
          <w:p w14:paraId="3FA0F2BD">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right"/>
              <w:rPr>
                <w:rFonts w:hint="default" w:ascii="仿宋" w:eastAsia="仿宋" w:cs="Arial"/>
                <w:color w:val="000000" w:themeColor="text1"/>
                <w:sz w:val="28"/>
                <w:szCs w:val="28"/>
                <w:lang w:val="en-US" w:eastAsia="zh-CN"/>
                <w14:textFill>
                  <w14:solidFill>
                    <w14:schemeClr w14:val="tx1"/>
                  </w14:solidFill>
                </w14:textFill>
              </w:rPr>
            </w:pPr>
            <w:r>
              <w:rPr>
                <w:rFonts w:hint="eastAsia" w:ascii="仿宋" w:eastAsia="仿宋" w:cs="宋体"/>
                <w:color w:val="000000" w:themeColor="text1"/>
                <w:sz w:val="28"/>
                <w:szCs w:val="28"/>
                <w:lang w:val="en-US" w:eastAsia="zh-CN"/>
                <w14:textFill>
                  <w14:solidFill>
                    <w14:schemeClr w14:val="tx1"/>
                  </w14:solidFill>
                </w14:textFill>
              </w:rPr>
              <w:t>21.2</w:t>
            </w:r>
          </w:p>
        </w:tc>
      </w:tr>
      <w:tr w14:paraId="48234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2513" w:type="dxa"/>
            <w:tcBorders>
              <w:top w:val="nil"/>
              <w:left w:val="nil"/>
              <w:bottom w:val="single" w:color="auto" w:sz="4" w:space="0"/>
              <w:right w:val="single" w:color="auto" w:sz="4" w:space="0"/>
            </w:tcBorders>
            <w:vAlign w:val="bottom"/>
          </w:tcPr>
          <w:p w14:paraId="09C5B70B">
            <w:pPr>
              <w:keepNext w:val="0"/>
              <w:keepLines w:val="0"/>
              <w:pageBreakBefore w:val="0"/>
              <w:widowControl w:val="0"/>
              <w:kinsoku/>
              <w:wordWrap/>
              <w:overflowPunct/>
              <w:topLinePunct w:val="0"/>
              <w:autoSpaceDE/>
              <w:autoSpaceDN/>
              <w:bidi w:val="0"/>
              <w:adjustRightInd/>
              <w:snapToGrid/>
              <w:spacing w:line="440" w:lineRule="exact"/>
              <w:jc w:val="center"/>
              <w:rPr>
                <w:rFonts w:hint="eastAsia" w:ascii="仿宋" w:eastAsia="仿宋" w:cs="Arial"/>
                <w:color w:val="000000" w:themeColor="text1"/>
                <w:sz w:val="28"/>
                <w:szCs w:val="28"/>
                <w:lang w:val="en-US" w:eastAsia="zh-CN"/>
                <w14:textFill>
                  <w14:solidFill>
                    <w14:schemeClr w14:val="tx1"/>
                  </w14:solidFill>
                </w14:textFill>
              </w:rPr>
            </w:pPr>
            <w:r>
              <w:rPr>
                <w:rFonts w:hint="eastAsia" w:ascii="仿宋" w:eastAsia="仿宋" w:cs="Arial"/>
                <w:color w:val="000000" w:themeColor="text1"/>
                <w:sz w:val="28"/>
                <w:szCs w:val="28"/>
                <w:lang w:val="en-US" w:eastAsia="zh-CN"/>
                <w14:textFill>
                  <w14:solidFill>
                    <w14:schemeClr w14:val="tx1"/>
                  </w14:solidFill>
                </w14:textFill>
              </w:rPr>
              <w:t>第三产业投资</w:t>
            </w:r>
          </w:p>
        </w:tc>
        <w:tc>
          <w:tcPr>
            <w:tcW w:w="2513" w:type="dxa"/>
            <w:tcBorders>
              <w:top w:val="nil"/>
              <w:left w:val="nil"/>
              <w:bottom w:val="single" w:color="auto" w:sz="4" w:space="0"/>
              <w:right w:val="single" w:color="auto" w:sz="4" w:space="0"/>
            </w:tcBorders>
            <w:vAlign w:val="bottom"/>
          </w:tcPr>
          <w:p w14:paraId="1AA71D1A">
            <w:pPr>
              <w:keepNext w:val="0"/>
              <w:keepLines w:val="0"/>
              <w:pageBreakBefore w:val="0"/>
              <w:widowControl w:val="0"/>
              <w:kinsoku/>
              <w:wordWrap/>
              <w:overflowPunct/>
              <w:topLinePunct w:val="0"/>
              <w:autoSpaceDE/>
              <w:autoSpaceDN/>
              <w:bidi w:val="0"/>
              <w:adjustRightInd/>
              <w:snapToGrid/>
              <w:spacing w:line="440" w:lineRule="exact"/>
              <w:jc w:val="center"/>
              <w:rPr>
                <w:rFonts w:hint="default" w:ascii="仿宋" w:eastAsia="仿宋" w:cs="Arial"/>
                <w:color w:val="000000" w:themeColor="text1"/>
                <w:sz w:val="28"/>
                <w:szCs w:val="28"/>
                <w:lang w:val="en-US" w:eastAsia="zh-CN"/>
                <w14:textFill>
                  <w14:solidFill>
                    <w14:schemeClr w14:val="tx1"/>
                  </w14:solidFill>
                </w14:textFill>
              </w:rPr>
            </w:pPr>
            <w:r>
              <w:rPr>
                <w:rFonts w:hint="eastAsia" w:ascii="仿宋" w:eastAsia="仿宋" w:cs="Arial"/>
                <w:color w:val="000000" w:themeColor="text1"/>
                <w:sz w:val="28"/>
                <w:szCs w:val="28"/>
                <w:lang w:val="en-US" w:eastAsia="zh-CN"/>
                <w14:textFill>
                  <w14:solidFill>
                    <w14:schemeClr w14:val="tx1"/>
                  </w14:solidFill>
                </w14:textFill>
              </w:rPr>
              <w:t>107.7</w:t>
            </w:r>
          </w:p>
        </w:tc>
        <w:tc>
          <w:tcPr>
            <w:tcW w:w="2514" w:type="dxa"/>
            <w:tcBorders>
              <w:top w:val="nil"/>
              <w:left w:val="nil"/>
              <w:bottom w:val="single" w:color="auto" w:sz="4" w:space="0"/>
              <w:right w:val="nil"/>
            </w:tcBorders>
            <w:vAlign w:val="bottom"/>
          </w:tcPr>
          <w:p w14:paraId="32D2005C">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right"/>
              <w:rPr>
                <w:rFonts w:hint="default" w:ascii="仿宋" w:eastAsia="仿宋" w:cs="Arial"/>
                <w:color w:val="000000" w:themeColor="text1"/>
                <w:sz w:val="28"/>
                <w:szCs w:val="28"/>
                <w:lang w:val="en-US" w:eastAsia="zh-CN"/>
                <w14:textFill>
                  <w14:solidFill>
                    <w14:schemeClr w14:val="tx1"/>
                  </w14:solidFill>
                </w14:textFill>
              </w:rPr>
            </w:pPr>
            <w:r>
              <w:rPr>
                <w:rFonts w:hint="eastAsia" w:ascii="仿宋" w:eastAsia="仿宋" w:cs="宋体"/>
                <w:color w:val="000000" w:themeColor="text1"/>
                <w:sz w:val="28"/>
                <w:szCs w:val="28"/>
                <w:lang w:val="en-US" w:eastAsia="zh-CN"/>
                <w14:textFill>
                  <w14:solidFill>
                    <w14:schemeClr w14:val="tx1"/>
                  </w14:solidFill>
                </w14:textFill>
              </w:rPr>
              <w:t>78.8</w:t>
            </w:r>
          </w:p>
        </w:tc>
      </w:tr>
    </w:tbl>
    <w:p w14:paraId="79BE2326">
      <w:pPr>
        <w:ind w:left="0" w:leftChars="0" w:firstLine="640" w:firstLineChars="200"/>
        <w:rPr>
          <w:rFonts w:hint="eastAsia" w:ascii="黑体" w:eastAsia="黑体" w:cs="黑体"/>
          <w:b w:val="0"/>
          <w:bCs w:val="0"/>
        </w:rPr>
      </w:pPr>
      <w:r>
        <w:rPr>
          <w:rFonts w:hint="eastAsia" w:ascii="黑体" w:eastAsia="黑体" w:cs="黑体"/>
          <w:b w:val="0"/>
          <w:bCs w:val="0"/>
        </w:rPr>
        <w:t>六、贸易和服务业</w:t>
      </w:r>
    </w:p>
    <w:p w14:paraId="3ADD5203">
      <w:pPr>
        <w:keepNext w:val="0"/>
        <w:keepLines w:val="0"/>
        <w:pageBreakBefore w:val="0"/>
        <w:widowControl w:val="0"/>
        <w:tabs>
          <w:tab w:val="left" w:pos="853"/>
        </w:tabs>
        <w:kinsoku/>
        <w:wordWrap/>
        <w:overflowPunct/>
        <w:topLinePunct w:val="0"/>
        <w:autoSpaceDE/>
        <w:autoSpaceDN/>
        <w:bidi w:val="0"/>
        <w:adjustRightInd/>
        <w:snapToGrid/>
        <w:spacing w:line="576" w:lineRule="exact"/>
        <w:ind w:lef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rPr>
        <w:t>2023年1-12月</w:t>
      </w:r>
      <w:r>
        <w:rPr>
          <w:rFonts w:hint="eastAsia" w:ascii="仿宋" w:hAnsi="仿宋" w:eastAsia="仿宋" w:cs="仿宋"/>
          <w:sz w:val="32"/>
          <w:szCs w:val="32"/>
          <w:lang w:val="en-US" w:eastAsia="zh-CN"/>
        </w:rPr>
        <w:t>朝阳区限额以上贸易业企业达到177户，其中：151户批发零售企业，26户住宿餐饮企业。全区限额以上社会消费品零售额完成194.2亿元，同比增长1.4%。全区限额以上社零额以8.8%的平稳增速开局，之后增速逐月上升在1-4月达到今年最高，增速为61.2%，随后开始逐步放缓，在最后一个月以1.4%的增速收官。</w:t>
      </w:r>
    </w:p>
    <w:p w14:paraId="632319F8">
      <w:pPr>
        <w:tabs>
          <w:tab w:val="left" w:pos="853"/>
        </w:tabs>
        <w:ind w:left="0" w:firstLine="640" w:firstLineChars="200"/>
        <w:rPr>
          <w:rFonts w:hint="eastAsia" w:ascii="仿宋" w:eastAsia="仿宋" w:cs="仿宋"/>
          <w:sz w:val="32"/>
          <w:szCs w:val="32"/>
          <w:lang w:val="en-US" w:eastAsia="zh-CN"/>
        </w:rPr>
      </w:pPr>
    </w:p>
    <w:p w14:paraId="359552BE">
      <w:pPr>
        <w:tabs>
          <w:tab w:val="left" w:pos="853"/>
        </w:tabs>
        <w:ind w:left="0" w:firstLine="640" w:firstLineChars="200"/>
      </w:pPr>
      <w:r>
        <w:rPr>
          <w:rFonts w:hint="eastAsia" w:ascii="仿宋" w:eastAsia="仿宋" w:cs="仿宋"/>
          <w:sz w:val="32"/>
          <w:szCs w:val="32"/>
          <w:lang w:val="en-US" w:eastAsia="zh-CN"/>
        </w:rPr>
        <w:drawing>
          <wp:inline distT="0" distB="0" distL="114300" distR="114300">
            <wp:extent cx="4393565" cy="3036570"/>
            <wp:effectExtent l="4445" t="4445" r="21590" b="6985"/>
            <wp:docPr id="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4C98EC3">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rPr>
      </w:pPr>
      <w:r>
        <w:rPr>
          <w:rFonts w:hint="eastAsia" w:ascii="仿宋" w:hAnsi="仿宋" w:eastAsia="仿宋" w:cs="仿宋"/>
        </w:rPr>
        <w:t>2023年1-12月，朝阳区规模以上服务业累计完成营业收入109.8亿元，同比增长15.5%。其中，纳入GDP核算的重点行业企业为71户，累计完成营业收入84.0亿元，同比增长16.3%。</w:t>
      </w:r>
    </w:p>
    <w:p w14:paraId="6D6DFD8D">
      <w:pPr>
        <w:pStyle w:val="2"/>
        <w:keepNext w:val="0"/>
        <w:keepLines w:val="0"/>
        <w:pageBreakBefore w:val="0"/>
        <w:widowControl w:val="0"/>
        <w:kinsoku/>
        <w:wordWrap/>
        <w:overflowPunct/>
        <w:topLinePunct w:val="0"/>
        <w:autoSpaceDE/>
        <w:autoSpaceDN/>
        <w:bidi w:val="0"/>
        <w:adjustRightInd/>
        <w:snapToGrid/>
        <w:spacing w:line="576" w:lineRule="exact"/>
        <w:textAlignment w:val="auto"/>
        <w:rPr>
          <w:b w:val="0"/>
          <w:bCs w:val="0"/>
        </w:rPr>
      </w:pPr>
      <w:r>
        <w:rPr>
          <w:rFonts w:hint="eastAsia"/>
          <w:b w:val="0"/>
          <w:bCs w:val="0"/>
        </w:rPr>
        <w:t>七、财政</w:t>
      </w:r>
    </w:p>
    <w:p w14:paraId="34EA0E60">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lang w:eastAsia="zh-CN"/>
        </w:rPr>
      </w:pPr>
      <w:r>
        <w:rPr>
          <w:rFonts w:hint="eastAsia" w:ascii="仿宋" w:hAnsi="仿宋" w:eastAsia="仿宋" w:cs="仿宋"/>
        </w:rPr>
        <w:t>20</w:t>
      </w:r>
      <w:r>
        <w:rPr>
          <w:rFonts w:hint="eastAsia" w:ascii="仿宋" w:hAnsi="仿宋" w:eastAsia="仿宋" w:cs="仿宋"/>
          <w:lang w:val="en-US" w:eastAsia="zh-CN"/>
        </w:rPr>
        <w:t>23</w:t>
      </w:r>
      <w:r>
        <w:rPr>
          <w:rFonts w:hint="eastAsia" w:ascii="仿宋" w:hAnsi="仿宋" w:eastAsia="仿宋" w:cs="仿宋"/>
        </w:rPr>
        <w:t>年，朝阳区科学研判和积极应对</w:t>
      </w:r>
      <w:r>
        <w:rPr>
          <w:rFonts w:hint="eastAsia" w:ascii="仿宋" w:hAnsi="仿宋" w:eastAsia="仿宋" w:cs="仿宋"/>
          <w:lang w:eastAsia="zh-CN"/>
        </w:rPr>
        <w:t>疫情带来的经济压力</w:t>
      </w:r>
      <w:r>
        <w:rPr>
          <w:rFonts w:hint="eastAsia" w:ascii="仿宋" w:hAnsi="仿宋" w:eastAsia="仿宋" w:cs="仿宋"/>
        </w:rPr>
        <w:t>及日益凸显的收支矛盾，坚持以稳增长为核心，统筹推动促改革、调结构、惠民生、防风险、保稳定等各项工作，努力促进全区经济社会实现稳中有进和高质量发展，财政预算得到有效执行。全年全口径财政收入实现</w:t>
      </w:r>
      <w:r>
        <w:rPr>
          <w:rFonts w:hint="eastAsia" w:ascii="仿宋" w:hAnsi="仿宋" w:eastAsia="仿宋" w:cs="仿宋"/>
          <w:lang w:val="en-US" w:eastAsia="zh-CN"/>
        </w:rPr>
        <w:t>56.57</w:t>
      </w:r>
      <w:r>
        <w:rPr>
          <w:rFonts w:hint="eastAsia" w:ascii="仿宋" w:hAnsi="仿宋" w:eastAsia="仿宋" w:cs="仿宋"/>
        </w:rPr>
        <w:t>亿元</w:t>
      </w:r>
      <w:r>
        <w:rPr>
          <w:rFonts w:hint="eastAsia" w:ascii="仿宋" w:hAnsi="仿宋" w:eastAsia="仿宋" w:cs="仿宋"/>
          <w:lang w:eastAsia="zh-CN"/>
        </w:rPr>
        <w:t>。</w:t>
      </w:r>
      <w:r>
        <w:rPr>
          <w:rFonts w:hint="eastAsia" w:ascii="仿宋" w:hAnsi="仿宋" w:eastAsia="仿宋" w:cs="仿宋"/>
        </w:rPr>
        <w:t>一般公共预算收入完成</w:t>
      </w:r>
      <w:r>
        <w:rPr>
          <w:rFonts w:hint="eastAsia" w:ascii="仿宋" w:hAnsi="仿宋" w:eastAsia="仿宋" w:cs="仿宋"/>
          <w:lang w:val="en-US" w:eastAsia="zh-CN"/>
        </w:rPr>
        <w:t>10.67</w:t>
      </w:r>
      <w:r>
        <w:rPr>
          <w:rFonts w:hint="eastAsia" w:ascii="仿宋" w:hAnsi="仿宋" w:eastAsia="仿宋" w:cs="仿宋"/>
        </w:rPr>
        <w:t>亿元，同比</w:t>
      </w:r>
      <w:r>
        <w:rPr>
          <w:rFonts w:hint="eastAsia" w:ascii="仿宋" w:hAnsi="仿宋" w:eastAsia="仿宋" w:cs="仿宋"/>
          <w:lang w:val="en-US" w:eastAsia="zh-CN"/>
        </w:rPr>
        <w:t>增长23.2%</w:t>
      </w:r>
      <w:r>
        <w:rPr>
          <w:rFonts w:hint="eastAsia" w:ascii="仿宋" w:hAnsi="仿宋" w:eastAsia="仿宋" w:cs="仿宋"/>
        </w:rPr>
        <w:t>；一般公共预算支出完成</w:t>
      </w:r>
      <w:r>
        <w:rPr>
          <w:rFonts w:hint="eastAsia" w:ascii="仿宋" w:hAnsi="仿宋" w:eastAsia="仿宋" w:cs="仿宋"/>
          <w:lang w:val="en-US" w:eastAsia="zh-CN"/>
        </w:rPr>
        <w:t>31.29</w:t>
      </w:r>
      <w:r>
        <w:rPr>
          <w:rFonts w:hint="eastAsia" w:ascii="仿宋" w:hAnsi="仿宋" w:eastAsia="仿宋" w:cs="仿宋"/>
        </w:rPr>
        <w:t>亿元，同比增长4.2%</w:t>
      </w:r>
      <w:r>
        <w:rPr>
          <w:rFonts w:hint="eastAsia" w:ascii="仿宋" w:hAnsi="仿宋" w:eastAsia="仿宋" w:cs="仿宋"/>
          <w:lang w:eastAsia="zh-CN"/>
        </w:rPr>
        <w:t>。</w:t>
      </w:r>
    </w:p>
    <w:p w14:paraId="377FE37E">
      <w:pPr>
        <w:pStyle w:val="2"/>
        <w:keepNext w:val="0"/>
        <w:keepLines w:val="0"/>
        <w:pageBreakBefore w:val="0"/>
        <w:widowControl w:val="0"/>
        <w:kinsoku/>
        <w:wordWrap/>
        <w:overflowPunct/>
        <w:topLinePunct w:val="0"/>
        <w:autoSpaceDE/>
        <w:autoSpaceDN/>
        <w:bidi w:val="0"/>
        <w:adjustRightInd/>
        <w:snapToGrid/>
        <w:spacing w:line="576" w:lineRule="exact"/>
        <w:textAlignment w:val="auto"/>
        <w:rPr>
          <w:b w:val="0"/>
          <w:bCs w:val="0"/>
        </w:rPr>
      </w:pPr>
      <w:r>
        <w:rPr>
          <w:rFonts w:hint="eastAsia"/>
          <w:b w:val="0"/>
          <w:bCs w:val="0"/>
          <w:lang w:eastAsia="zh-CN"/>
        </w:rPr>
        <w:t>八</w:t>
      </w:r>
      <w:r>
        <w:rPr>
          <w:rFonts w:hint="eastAsia"/>
          <w:b w:val="0"/>
          <w:bCs w:val="0"/>
        </w:rPr>
        <w:t>、教育、</w:t>
      </w:r>
      <w:r>
        <w:rPr>
          <w:rFonts w:hint="eastAsia"/>
          <w:b w:val="0"/>
          <w:bCs w:val="0"/>
          <w:color w:val="000000" w:themeColor="text1"/>
          <w14:textFill>
            <w14:solidFill>
              <w14:schemeClr w14:val="tx1"/>
            </w14:solidFill>
          </w14:textFill>
        </w:rPr>
        <w:t>卫生</w:t>
      </w:r>
    </w:p>
    <w:p w14:paraId="1306B237">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rPr>
      </w:pPr>
      <w:r>
        <w:rPr>
          <w:rFonts w:hint="eastAsia" w:ascii="仿宋" w:hAnsi="仿宋" w:eastAsia="仿宋" w:cs="仿宋"/>
        </w:rPr>
        <w:t>2023年全区共有义务教育阶段学校35所。其中，小学23所，小学教师1967名，在校学生2.13万人；普通初中12所，初中教师1286名，在校学生0.81万人。</w:t>
      </w:r>
    </w:p>
    <w:p w14:paraId="3965D9B0">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b/>
          <w:bCs/>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全区共有医疗机构</w:t>
      </w:r>
      <w:r>
        <w:rPr>
          <w:rFonts w:hint="eastAsia" w:ascii="仿宋" w:hAnsi="仿宋" w:eastAsia="仿宋" w:cs="仿宋"/>
          <w:color w:val="000000" w:themeColor="text1"/>
          <w:lang w:val="en-US" w:eastAsia="zh-CN"/>
          <w14:textFill>
            <w14:solidFill>
              <w14:schemeClr w14:val="tx1"/>
            </w14:solidFill>
          </w14:textFill>
        </w:rPr>
        <w:t>685</w:t>
      </w:r>
      <w:r>
        <w:rPr>
          <w:rFonts w:hint="eastAsia" w:ascii="仿宋" w:hAnsi="仿宋" w:eastAsia="仿宋" w:cs="仿宋"/>
          <w:color w:val="000000" w:themeColor="text1"/>
          <w14:textFill>
            <w14:solidFill>
              <w14:schemeClr w14:val="tx1"/>
            </w14:solidFill>
          </w14:textFill>
        </w:rPr>
        <w:t>个，其中，医院</w:t>
      </w:r>
      <w:r>
        <w:rPr>
          <w:rFonts w:hint="eastAsia" w:ascii="仿宋" w:hAnsi="仿宋" w:eastAsia="仿宋" w:cs="仿宋"/>
          <w:color w:val="000000" w:themeColor="text1"/>
          <w:lang w:val="en-US" w:eastAsia="zh-CN"/>
          <w14:textFill>
            <w14:solidFill>
              <w14:schemeClr w14:val="tx1"/>
            </w14:solidFill>
          </w14:textFill>
        </w:rPr>
        <w:t>29</w:t>
      </w:r>
      <w:r>
        <w:rPr>
          <w:rFonts w:hint="eastAsia" w:ascii="仿宋" w:hAnsi="仿宋" w:eastAsia="仿宋" w:cs="仿宋"/>
          <w:color w:val="000000" w:themeColor="text1"/>
          <w14:textFill>
            <w14:solidFill>
              <w14:schemeClr w14:val="tx1"/>
            </w14:solidFill>
          </w14:textFill>
        </w:rPr>
        <w:t>个，乡镇卫生院</w:t>
      </w:r>
      <w:r>
        <w:rPr>
          <w:rFonts w:hint="eastAsia" w:ascii="仿宋" w:hAnsi="仿宋" w:eastAsia="仿宋" w:cs="仿宋"/>
          <w:color w:val="000000" w:themeColor="text1"/>
          <w:lang w:val="en-US" w:eastAsia="zh-CN"/>
          <w14:textFill>
            <w14:solidFill>
              <w14:schemeClr w14:val="tx1"/>
            </w14:solidFill>
          </w14:textFill>
        </w:rPr>
        <w:t>2</w:t>
      </w:r>
      <w:r>
        <w:rPr>
          <w:rFonts w:hint="eastAsia" w:ascii="仿宋" w:hAnsi="仿宋" w:eastAsia="仿宋" w:cs="仿宋"/>
          <w:color w:val="000000" w:themeColor="text1"/>
          <w14:textFill>
            <w14:solidFill>
              <w14:schemeClr w14:val="tx1"/>
            </w14:solidFill>
          </w14:textFill>
        </w:rPr>
        <w:t>个，社区卫生服务中心（站）</w:t>
      </w:r>
      <w:r>
        <w:rPr>
          <w:rFonts w:hint="eastAsia" w:ascii="仿宋" w:hAnsi="仿宋" w:eastAsia="仿宋" w:cs="仿宋"/>
          <w:color w:val="000000" w:themeColor="text1"/>
          <w:lang w:val="en-US" w:eastAsia="zh-CN"/>
          <w14:textFill>
            <w14:solidFill>
              <w14:schemeClr w14:val="tx1"/>
            </w14:solidFill>
          </w14:textFill>
        </w:rPr>
        <w:t>26</w:t>
      </w:r>
      <w:r>
        <w:rPr>
          <w:rFonts w:hint="eastAsia" w:ascii="仿宋" w:hAnsi="仿宋" w:eastAsia="仿宋" w:cs="仿宋"/>
          <w:color w:val="000000" w:themeColor="text1"/>
          <w14:textFill>
            <w14:solidFill>
              <w14:schemeClr w14:val="tx1"/>
            </w14:solidFill>
          </w14:textFill>
        </w:rPr>
        <w:t>个。全区医疗机构卫生技术人员</w:t>
      </w:r>
      <w:r>
        <w:rPr>
          <w:rFonts w:hint="eastAsia" w:ascii="仿宋" w:hAnsi="仿宋" w:eastAsia="仿宋" w:cs="仿宋"/>
          <w:color w:val="000000" w:themeColor="text1"/>
          <w:lang w:val="en-US" w:eastAsia="zh-CN"/>
          <w14:textFill>
            <w14:solidFill>
              <w14:schemeClr w14:val="tx1"/>
            </w14:solidFill>
          </w14:textFill>
        </w:rPr>
        <w:t>25256</w:t>
      </w:r>
      <w:r>
        <w:rPr>
          <w:rFonts w:hint="eastAsia" w:ascii="仿宋" w:hAnsi="仿宋" w:eastAsia="仿宋" w:cs="仿宋"/>
          <w:color w:val="000000" w:themeColor="text1"/>
          <w14:textFill>
            <w14:solidFill>
              <w14:schemeClr w14:val="tx1"/>
            </w14:solidFill>
          </w14:textFill>
        </w:rPr>
        <w:t>人，其中，执业（助理）医师</w:t>
      </w:r>
      <w:r>
        <w:rPr>
          <w:rFonts w:hint="eastAsia" w:ascii="仿宋" w:hAnsi="仿宋" w:eastAsia="仿宋" w:cs="仿宋"/>
          <w:color w:val="000000" w:themeColor="text1"/>
          <w:lang w:val="en-US" w:eastAsia="zh-CN"/>
          <w14:textFill>
            <w14:solidFill>
              <w14:schemeClr w14:val="tx1"/>
            </w14:solidFill>
          </w14:textFill>
        </w:rPr>
        <w:t>402</w:t>
      </w:r>
      <w:r>
        <w:rPr>
          <w:rFonts w:hint="eastAsia" w:ascii="仿宋" w:hAnsi="仿宋" w:eastAsia="仿宋" w:cs="仿宋"/>
          <w:color w:val="000000" w:themeColor="text1"/>
          <w14:textFill>
            <w14:solidFill>
              <w14:schemeClr w14:val="tx1"/>
            </w14:solidFill>
          </w14:textFill>
        </w:rPr>
        <w:t>人，执业医师</w:t>
      </w:r>
      <w:r>
        <w:rPr>
          <w:rFonts w:hint="eastAsia" w:ascii="仿宋" w:hAnsi="仿宋" w:eastAsia="仿宋" w:cs="仿宋"/>
          <w:color w:val="000000" w:themeColor="text1"/>
          <w:lang w:val="en-US" w:eastAsia="zh-CN"/>
          <w14:textFill>
            <w14:solidFill>
              <w14:schemeClr w14:val="tx1"/>
            </w14:solidFill>
          </w14:textFill>
        </w:rPr>
        <w:t>9996</w:t>
      </w:r>
      <w:r>
        <w:rPr>
          <w:rFonts w:hint="eastAsia" w:ascii="仿宋" w:hAnsi="仿宋" w:eastAsia="仿宋" w:cs="仿宋"/>
          <w:color w:val="000000" w:themeColor="text1"/>
          <w14:textFill>
            <w14:solidFill>
              <w14:schemeClr w14:val="tx1"/>
            </w14:solidFill>
          </w14:textFill>
        </w:rPr>
        <w:t>人</w:t>
      </w:r>
      <w:r>
        <w:rPr>
          <w:rFonts w:hint="eastAsia" w:ascii="仿宋" w:hAnsi="仿宋" w:eastAsia="仿宋" w:cs="仿宋"/>
          <w:color w:val="000000" w:themeColor="text1"/>
          <w:lang w:eastAsia="zh-CN"/>
          <w14:textFill>
            <w14:solidFill>
              <w14:schemeClr w14:val="tx1"/>
            </w14:solidFill>
          </w14:textFill>
        </w:rPr>
        <w:t>，</w:t>
      </w:r>
      <w:r>
        <w:rPr>
          <w:rFonts w:hint="eastAsia" w:ascii="仿宋" w:hAnsi="仿宋" w:eastAsia="仿宋" w:cs="仿宋"/>
          <w:color w:val="000000" w:themeColor="text1"/>
          <w14:textFill>
            <w14:solidFill>
              <w14:schemeClr w14:val="tx1"/>
            </w14:solidFill>
          </w14:textFill>
        </w:rPr>
        <w:t>注册护士</w:t>
      </w:r>
      <w:r>
        <w:rPr>
          <w:rFonts w:hint="eastAsia" w:ascii="仿宋" w:hAnsi="仿宋" w:eastAsia="仿宋" w:cs="仿宋"/>
          <w:color w:val="000000" w:themeColor="text1"/>
          <w:lang w:val="en-US" w:eastAsia="zh-CN"/>
          <w14:textFill>
            <w14:solidFill>
              <w14:schemeClr w14:val="tx1"/>
            </w14:solidFill>
          </w14:textFill>
        </w:rPr>
        <w:t>13182</w:t>
      </w:r>
      <w:r>
        <w:rPr>
          <w:rFonts w:hint="eastAsia" w:ascii="仿宋" w:hAnsi="仿宋" w:eastAsia="仿宋" w:cs="仿宋"/>
          <w:color w:val="000000" w:themeColor="text1"/>
          <w14:textFill>
            <w14:solidFill>
              <w14:schemeClr w14:val="tx1"/>
            </w14:solidFill>
          </w14:textFill>
        </w:rPr>
        <w:t>人</w:t>
      </w:r>
      <w:r>
        <w:rPr>
          <w:rFonts w:hint="eastAsia" w:ascii="仿宋" w:hAnsi="仿宋" w:eastAsia="仿宋" w:cs="仿宋"/>
          <w:color w:val="000000" w:themeColor="text1"/>
          <w:lang w:eastAsia="zh-CN"/>
          <w14:textFill>
            <w14:solidFill>
              <w14:schemeClr w14:val="tx1"/>
            </w14:solidFill>
          </w14:textFill>
        </w:rPr>
        <w:t>，药师</w:t>
      </w:r>
      <w:r>
        <w:rPr>
          <w:rFonts w:hint="eastAsia" w:ascii="仿宋" w:hAnsi="仿宋" w:eastAsia="仿宋" w:cs="仿宋"/>
          <w:color w:val="000000" w:themeColor="text1"/>
          <w:lang w:val="en-US" w:eastAsia="zh-CN"/>
          <w14:textFill>
            <w14:solidFill>
              <w14:schemeClr w14:val="tx1"/>
            </w14:solidFill>
          </w14:textFill>
        </w:rPr>
        <w:t>776人</w:t>
      </w:r>
      <w:r>
        <w:rPr>
          <w:rFonts w:hint="eastAsia" w:ascii="仿宋" w:hAnsi="仿宋" w:eastAsia="仿宋" w:cs="仿宋"/>
          <w:color w:val="000000" w:themeColor="text1"/>
          <w14:textFill>
            <w14:solidFill>
              <w14:schemeClr w14:val="tx1"/>
            </w14:solidFill>
          </w14:textFill>
        </w:rPr>
        <w:t>。</w:t>
      </w:r>
    </w:p>
    <w:p w14:paraId="3748BF65">
      <w:pPr>
        <w:pStyle w:val="2"/>
        <w:keepNext w:val="0"/>
        <w:keepLines w:val="0"/>
        <w:pageBreakBefore w:val="0"/>
        <w:widowControl w:val="0"/>
        <w:kinsoku/>
        <w:wordWrap/>
        <w:overflowPunct/>
        <w:topLinePunct w:val="0"/>
        <w:autoSpaceDE/>
        <w:autoSpaceDN/>
        <w:bidi w:val="0"/>
        <w:adjustRightInd/>
        <w:snapToGrid/>
        <w:spacing w:line="576" w:lineRule="exact"/>
        <w:textAlignment w:val="auto"/>
        <w:rPr>
          <w:b w:val="0"/>
          <w:bCs w:val="0"/>
          <w:color w:val="000000" w:themeColor="text1"/>
          <w14:textFill>
            <w14:solidFill>
              <w14:schemeClr w14:val="tx1"/>
            </w14:solidFill>
          </w14:textFill>
        </w:rPr>
      </w:pPr>
      <w:r>
        <w:rPr>
          <w:rFonts w:hint="eastAsia"/>
          <w:b w:val="0"/>
          <w:bCs w:val="0"/>
          <w:color w:val="000000" w:themeColor="text1"/>
          <w:lang w:eastAsia="zh-CN"/>
          <w14:textFill>
            <w14:solidFill>
              <w14:schemeClr w14:val="tx1"/>
            </w14:solidFill>
          </w14:textFill>
        </w:rPr>
        <w:t>九</w:t>
      </w:r>
      <w:r>
        <w:rPr>
          <w:rFonts w:hint="eastAsia"/>
          <w:b w:val="0"/>
          <w:bCs w:val="0"/>
          <w:color w:val="000000" w:themeColor="text1"/>
          <w14:textFill>
            <w14:solidFill>
              <w14:schemeClr w14:val="tx1"/>
            </w14:solidFill>
          </w14:textFill>
        </w:rPr>
        <w:t>、人口和人民生活</w:t>
      </w:r>
    </w:p>
    <w:p w14:paraId="38E42A27">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rPr>
      </w:pPr>
      <w:r>
        <w:rPr>
          <w:rFonts w:hint="eastAsia" w:ascii="仿宋" w:hAnsi="仿宋" w:eastAsia="仿宋" w:cs="仿宋"/>
        </w:rPr>
        <w:t>20</w:t>
      </w:r>
      <w:r>
        <w:rPr>
          <w:rFonts w:hint="eastAsia" w:ascii="仿宋" w:hAnsi="仿宋" w:eastAsia="仿宋" w:cs="仿宋"/>
          <w:lang w:val="en-US" w:eastAsia="zh-CN"/>
        </w:rPr>
        <w:t>23</w:t>
      </w:r>
      <w:r>
        <w:rPr>
          <w:rFonts w:hint="eastAsia" w:ascii="仿宋" w:hAnsi="仿宋" w:eastAsia="仿宋" w:cs="仿宋"/>
        </w:rPr>
        <w:t>年末，全区户籍总人口为</w:t>
      </w:r>
      <w:r>
        <w:rPr>
          <w:rFonts w:hint="eastAsia" w:ascii="仿宋" w:hAnsi="仿宋" w:eastAsia="仿宋" w:cs="仿宋"/>
          <w:lang w:val="en-US" w:eastAsia="zh-CN"/>
        </w:rPr>
        <w:t>56</w:t>
      </w:r>
      <w:r>
        <w:rPr>
          <w:rFonts w:hint="eastAsia" w:ascii="仿宋" w:hAnsi="仿宋" w:eastAsia="仿宋" w:cs="仿宋"/>
        </w:rPr>
        <w:t>万人。其中男性</w:t>
      </w:r>
      <w:r>
        <w:rPr>
          <w:rFonts w:hint="eastAsia" w:ascii="仿宋" w:hAnsi="仿宋" w:eastAsia="仿宋" w:cs="仿宋"/>
          <w:lang w:val="en-US" w:eastAsia="zh-CN"/>
        </w:rPr>
        <w:t>26.9</w:t>
      </w:r>
      <w:r>
        <w:rPr>
          <w:rFonts w:hint="eastAsia" w:ascii="仿宋" w:hAnsi="仿宋" w:eastAsia="仿宋" w:cs="仿宋"/>
        </w:rPr>
        <w:t>万人，占总人口的48%；女性</w:t>
      </w:r>
      <w:r>
        <w:rPr>
          <w:rFonts w:hint="eastAsia" w:ascii="仿宋" w:hAnsi="仿宋" w:eastAsia="仿宋" w:cs="仿宋"/>
          <w:lang w:val="en-US" w:eastAsia="zh-CN"/>
        </w:rPr>
        <w:t>29.1</w:t>
      </w:r>
      <w:r>
        <w:rPr>
          <w:rFonts w:hint="eastAsia" w:ascii="仿宋" w:hAnsi="仿宋" w:eastAsia="仿宋" w:cs="仿宋"/>
        </w:rPr>
        <w:t>万人，占总人口的</w:t>
      </w:r>
      <w:r>
        <w:rPr>
          <w:rFonts w:hint="eastAsia" w:ascii="仿宋" w:hAnsi="仿宋" w:eastAsia="仿宋" w:cs="仿宋"/>
          <w:lang w:val="en-US" w:eastAsia="zh-CN"/>
        </w:rPr>
        <w:t>52</w:t>
      </w:r>
      <w:r>
        <w:rPr>
          <w:rFonts w:hint="eastAsia" w:ascii="仿宋" w:hAnsi="仿宋" w:eastAsia="仿宋" w:cs="仿宋"/>
        </w:rPr>
        <w:t>%；乡村人口</w:t>
      </w:r>
      <w:r>
        <w:rPr>
          <w:rFonts w:hint="eastAsia" w:ascii="仿宋" w:hAnsi="仿宋" w:eastAsia="仿宋" w:cs="仿宋"/>
          <w:lang w:val="en-US" w:eastAsia="zh-CN"/>
        </w:rPr>
        <w:t>4.5</w:t>
      </w:r>
      <w:r>
        <w:rPr>
          <w:rFonts w:hint="eastAsia" w:ascii="仿宋" w:hAnsi="仿宋" w:eastAsia="仿宋" w:cs="仿宋"/>
        </w:rPr>
        <w:t>万人，占总人口的</w:t>
      </w:r>
      <w:r>
        <w:rPr>
          <w:rFonts w:hint="eastAsia" w:ascii="仿宋" w:hAnsi="仿宋" w:eastAsia="仿宋" w:cs="仿宋"/>
          <w:lang w:val="en-US" w:eastAsia="zh-CN"/>
        </w:rPr>
        <w:t>8</w:t>
      </w:r>
      <w:r>
        <w:rPr>
          <w:rFonts w:hint="eastAsia" w:ascii="仿宋" w:hAnsi="仿宋" w:eastAsia="仿宋" w:cs="仿宋"/>
        </w:rPr>
        <w:t>%；城镇人口</w:t>
      </w:r>
      <w:r>
        <w:rPr>
          <w:rFonts w:hint="eastAsia" w:ascii="仿宋" w:hAnsi="仿宋" w:eastAsia="仿宋" w:cs="仿宋"/>
          <w:lang w:val="en-US" w:eastAsia="zh-CN"/>
        </w:rPr>
        <w:t>51.5</w:t>
      </w:r>
      <w:r>
        <w:rPr>
          <w:rFonts w:hint="eastAsia" w:ascii="仿宋" w:hAnsi="仿宋" w:eastAsia="仿宋" w:cs="仿宋"/>
        </w:rPr>
        <w:t>万人，占总人口的92%；全区出生人口</w:t>
      </w:r>
      <w:r>
        <w:rPr>
          <w:rFonts w:hint="eastAsia" w:ascii="仿宋" w:hAnsi="仿宋" w:eastAsia="仿宋" w:cs="仿宋"/>
          <w:lang w:val="en-US" w:eastAsia="zh-CN"/>
        </w:rPr>
        <w:t>1991</w:t>
      </w:r>
      <w:r>
        <w:rPr>
          <w:rFonts w:hint="eastAsia" w:ascii="仿宋" w:hAnsi="仿宋" w:eastAsia="仿宋" w:cs="仿宋"/>
        </w:rPr>
        <w:t>人，人口出生率</w:t>
      </w:r>
      <w:r>
        <w:rPr>
          <w:rFonts w:hint="eastAsia" w:ascii="仿宋" w:hAnsi="仿宋" w:eastAsia="仿宋" w:cs="仿宋"/>
          <w:lang w:val="en-US" w:eastAsia="zh-CN"/>
        </w:rPr>
        <w:t>3.5</w:t>
      </w:r>
      <w:r>
        <w:rPr>
          <w:rFonts w:hint="eastAsia" w:ascii="仿宋" w:hAnsi="仿宋" w:eastAsia="仿宋" w:cs="仿宋"/>
        </w:rPr>
        <w:t>‰，死亡人口</w:t>
      </w:r>
      <w:r>
        <w:rPr>
          <w:rFonts w:hint="eastAsia" w:ascii="仿宋" w:hAnsi="仿宋" w:eastAsia="仿宋" w:cs="仿宋"/>
          <w:lang w:val="en-US" w:eastAsia="zh-CN"/>
        </w:rPr>
        <w:t>6842</w:t>
      </w:r>
      <w:r>
        <w:rPr>
          <w:rFonts w:hint="eastAsia" w:ascii="仿宋" w:hAnsi="仿宋" w:eastAsia="仿宋" w:cs="仿宋"/>
        </w:rPr>
        <w:t>人，死亡率</w:t>
      </w:r>
      <w:r>
        <w:rPr>
          <w:rFonts w:hint="eastAsia" w:ascii="仿宋" w:hAnsi="仿宋" w:eastAsia="仿宋" w:cs="仿宋"/>
          <w:lang w:val="en-US" w:eastAsia="zh-CN"/>
        </w:rPr>
        <w:t>12.2</w:t>
      </w:r>
      <w:r>
        <w:rPr>
          <w:rFonts w:hint="eastAsia" w:ascii="仿宋" w:hAnsi="仿宋" w:eastAsia="仿宋" w:cs="仿宋"/>
        </w:rPr>
        <w:t>‰，自然增长率</w:t>
      </w:r>
      <w:r>
        <w:rPr>
          <w:rFonts w:hint="eastAsia" w:ascii="仿宋" w:hAnsi="仿宋" w:eastAsia="仿宋" w:cs="仿宋"/>
          <w:lang w:val="en-US" w:eastAsia="zh-CN"/>
        </w:rPr>
        <w:t>-8.7</w:t>
      </w:r>
      <w:r>
        <w:rPr>
          <w:rFonts w:hint="eastAsia" w:ascii="仿宋" w:hAnsi="仿宋" w:eastAsia="仿宋" w:cs="仿宋"/>
        </w:rPr>
        <w:t>‰。</w:t>
      </w:r>
    </w:p>
    <w:p w14:paraId="073E75EE">
      <w:pPr>
        <w:keepNext w:val="0"/>
        <w:keepLines w:val="0"/>
        <w:pageBreakBefore w:val="0"/>
        <w:widowControl w:val="0"/>
        <w:shd w:val="clear" w:color="auto" w:fill="FFFFFF"/>
        <w:kinsoku/>
        <w:wordWrap/>
        <w:overflowPunct/>
        <w:topLinePunct w:val="0"/>
        <w:autoSpaceDE/>
        <w:autoSpaceDN/>
        <w:bidi w:val="0"/>
        <w:adjustRightInd/>
        <w:snapToGrid/>
        <w:spacing w:line="480" w:lineRule="atLeast"/>
        <w:ind w:firstLine="0" w:firstLineChars="0"/>
        <w:rPr>
          <w:rFonts w:ascii="微软雅黑" w:eastAsia="微软雅黑" w:cs="宋体"/>
          <w:color w:val="000000"/>
          <w:kern w:val="0"/>
          <w:sz w:val="27"/>
          <w:szCs w:val="27"/>
        </w:rPr>
      </w:pPr>
      <w:r>
        <w:rPr>
          <w:rFonts w:hint="eastAsia" w:ascii="微软雅黑" w:eastAsia="微软雅黑" w:cs="宋体"/>
          <w:color w:val="000000"/>
          <w:kern w:val="0"/>
          <w:sz w:val="27"/>
          <w:szCs w:val="27"/>
        </w:rPr>
        <w:t>注：</w:t>
      </w:r>
    </w:p>
    <w:p w14:paraId="5AD4533A">
      <w:pPr>
        <w:keepNext w:val="0"/>
        <w:keepLines w:val="0"/>
        <w:pageBreakBefore w:val="0"/>
        <w:widowControl w:val="0"/>
        <w:shd w:val="clear" w:color="auto" w:fill="FFFFFF"/>
        <w:kinsoku/>
        <w:wordWrap/>
        <w:overflowPunct/>
        <w:topLinePunct w:val="0"/>
        <w:autoSpaceDE/>
        <w:autoSpaceDN/>
        <w:bidi w:val="0"/>
        <w:adjustRightInd/>
        <w:snapToGrid/>
        <w:spacing w:line="480" w:lineRule="atLeast"/>
        <w:ind w:firstLine="0" w:firstLineChars="0"/>
        <w:rPr>
          <w:rFonts w:ascii="微软雅黑" w:eastAsia="微软雅黑" w:cs="宋体"/>
          <w:color w:val="000000"/>
          <w:kern w:val="0"/>
          <w:sz w:val="27"/>
          <w:szCs w:val="27"/>
        </w:rPr>
      </w:pPr>
      <w:r>
        <w:rPr>
          <w:rFonts w:hint="eastAsia" w:ascii="微软雅黑" w:eastAsia="微软雅黑" w:cs="宋体"/>
          <w:color w:val="000000"/>
          <w:kern w:val="0"/>
          <w:sz w:val="27"/>
          <w:szCs w:val="27"/>
        </w:rPr>
        <w:t>　　1.本公报各项统计数据为初步统计数。</w:t>
      </w:r>
    </w:p>
    <w:p w14:paraId="1A1EF5D3">
      <w:pPr>
        <w:keepNext w:val="0"/>
        <w:keepLines w:val="0"/>
        <w:pageBreakBefore w:val="0"/>
        <w:widowControl w:val="0"/>
        <w:shd w:val="clear" w:color="auto" w:fill="FFFFFF"/>
        <w:kinsoku/>
        <w:wordWrap/>
        <w:overflowPunct/>
        <w:topLinePunct w:val="0"/>
        <w:autoSpaceDE/>
        <w:autoSpaceDN/>
        <w:bidi w:val="0"/>
        <w:adjustRightInd/>
        <w:snapToGrid/>
        <w:spacing w:line="480" w:lineRule="atLeast"/>
        <w:ind w:firstLine="0" w:firstLineChars="0"/>
        <w:rPr>
          <w:rFonts w:ascii="微软雅黑" w:eastAsia="微软雅黑" w:cs="宋体"/>
          <w:color w:val="000000"/>
          <w:kern w:val="0"/>
          <w:sz w:val="27"/>
          <w:szCs w:val="27"/>
        </w:rPr>
      </w:pPr>
      <w:r>
        <w:rPr>
          <w:rFonts w:hint="eastAsia" w:ascii="微软雅黑" w:eastAsia="微软雅黑" w:cs="宋体"/>
          <w:color w:val="000000"/>
          <w:kern w:val="0"/>
          <w:sz w:val="27"/>
          <w:szCs w:val="27"/>
        </w:rPr>
        <w:t>　　2.本公报朝阳区生产总值、各产业增加值绝对数按现价计算，增长速度按可比价格计算。根据第四次全国经济普查结果，市统计局对各城区地区生产总值、三次产业及相关产业增加值等相关指标的历史数据进行了修订。本公报中涉及20</w:t>
      </w:r>
      <w:r>
        <w:rPr>
          <w:rFonts w:hint="eastAsia" w:ascii="微软雅黑" w:eastAsia="微软雅黑" w:cs="宋体"/>
          <w:color w:val="000000"/>
          <w:kern w:val="0"/>
          <w:sz w:val="27"/>
          <w:szCs w:val="27"/>
          <w:lang w:val="en-US" w:eastAsia="zh-CN"/>
        </w:rPr>
        <w:t>22</w:t>
      </w:r>
      <w:r>
        <w:rPr>
          <w:rFonts w:hint="eastAsia" w:ascii="微软雅黑" w:eastAsia="微软雅黑" w:cs="宋体"/>
          <w:color w:val="000000"/>
          <w:kern w:val="0"/>
          <w:sz w:val="27"/>
          <w:szCs w:val="27"/>
        </w:rPr>
        <w:t>年地区生产总值、三次产业及相关产业增加值和以地区生产总值为分母计算的强度指标均以市统计局反馈修订后的20</w:t>
      </w:r>
      <w:r>
        <w:rPr>
          <w:rFonts w:hint="eastAsia" w:ascii="微软雅黑" w:eastAsia="微软雅黑" w:cs="宋体"/>
          <w:color w:val="000000"/>
          <w:kern w:val="0"/>
          <w:sz w:val="27"/>
          <w:szCs w:val="27"/>
          <w:lang w:val="en-US" w:eastAsia="zh-CN"/>
        </w:rPr>
        <w:t>21</w:t>
      </w:r>
      <w:r>
        <w:rPr>
          <w:rFonts w:hint="eastAsia" w:ascii="微软雅黑" w:eastAsia="微软雅黑" w:cs="宋体"/>
          <w:color w:val="000000"/>
          <w:kern w:val="0"/>
          <w:sz w:val="27"/>
          <w:szCs w:val="27"/>
        </w:rPr>
        <w:t>年数据为基数。</w:t>
      </w:r>
    </w:p>
    <w:p w14:paraId="56F3DAB8">
      <w:pPr>
        <w:keepNext w:val="0"/>
        <w:keepLines w:val="0"/>
        <w:pageBreakBefore w:val="0"/>
        <w:widowControl w:val="0"/>
        <w:shd w:val="clear" w:color="auto" w:fill="FFFFFF"/>
        <w:kinsoku/>
        <w:wordWrap/>
        <w:overflowPunct/>
        <w:topLinePunct w:val="0"/>
        <w:autoSpaceDE/>
        <w:autoSpaceDN/>
        <w:bidi w:val="0"/>
        <w:adjustRightInd/>
        <w:snapToGrid/>
        <w:spacing w:line="480" w:lineRule="atLeast"/>
        <w:ind w:firstLine="0" w:firstLineChars="0"/>
        <w:rPr>
          <w:rFonts w:hint="eastAsia" w:eastAsia="微软雅黑"/>
          <w:lang w:eastAsia="zh-CN"/>
        </w:rPr>
      </w:pPr>
      <w:r>
        <w:rPr>
          <w:rFonts w:hint="eastAsia" w:ascii="微软雅黑" w:eastAsia="微软雅黑" w:cs="宋体"/>
          <w:color w:val="000000"/>
          <w:kern w:val="0"/>
          <w:sz w:val="27"/>
          <w:szCs w:val="27"/>
        </w:rPr>
        <w:t>　　3.资料来源：本公报中财政数据来自区财政局；教育数据来自区教育局；卫生数据来自区卫生健康委；人口数据来自区公安分局；其他数据均来自区统计局</w:t>
      </w:r>
      <w:r>
        <w:rPr>
          <w:rFonts w:hint="eastAsia" w:ascii="微软雅黑" w:eastAsia="微软雅黑" w:cs="宋体"/>
          <w:color w:val="000000"/>
          <w:kern w:val="0"/>
          <w:sz w:val="27"/>
          <w:szCs w:val="27"/>
          <w:lang w:eastAsia="zh-CN"/>
        </w:rPr>
        <w:t>。</w:t>
      </w:r>
      <w:bookmarkStart w:id="0" w:name="_GoBack"/>
      <w:bookmarkEnd w:id="0"/>
    </w:p>
    <w:sectPr>
      <w:headerReference r:id="rId5" w:type="default"/>
      <w:footerReference r:id="rId6" w:type="default"/>
      <w:pgSz w:w="11906" w:h="16838"/>
      <w:pgMar w:top="1440" w:right="1800" w:bottom="1440" w:left="1800" w:header="851" w:footer="992"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Lucida Sans">
    <w:altName w:val="Lucida Sans Unicode"/>
    <w:panose1 w:val="020B0602030504020204"/>
    <w:charset w:val="01"/>
    <w:family w:val="auto"/>
    <w:pitch w:val="default"/>
    <w:sig w:usb0="00000000" w:usb1="00000000" w:usb2="00000000" w:usb3="00000000" w:csb0="00000000" w:csb1="00000000"/>
  </w:font>
  <w:font w:name="Calibri">
    <w:panose1 w:val="020F0502020204030204"/>
    <w:charset w:val="01"/>
    <w:family w:val="auto"/>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Lucida Sans Unicode">
    <w:panose1 w:val="020B0602030504020204"/>
    <w:charset w:val="00"/>
    <w:family w:val="auto"/>
    <w:pitch w:val="default"/>
    <w:sig w:usb0="80001AFF" w:usb1="0000396B" w:usb2="00000000" w:usb3="00000000" w:csb0="200000BF" w:csb1="D7F7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33359">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B0617CC">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4B0617CC">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5B10B">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5"/>
  </w:compat>
  <w:docVars>
    <w:docVar w:name="commondata" w:val="eyJoZGlkIjoiOGExY2ZkNmVmYzJlZGYyZGU2ZjIxODAyYjE4NWQ4MTgifQ=="/>
  </w:docVars>
  <w:rsids>
    <w:rsidRoot w:val="00000000"/>
    <w:rsid w:val="00D40D69"/>
    <w:rsid w:val="01A87AFF"/>
    <w:rsid w:val="03600692"/>
    <w:rsid w:val="05CF09DE"/>
    <w:rsid w:val="06EF4B3A"/>
    <w:rsid w:val="07686EEB"/>
    <w:rsid w:val="0D2458D3"/>
    <w:rsid w:val="0E514226"/>
    <w:rsid w:val="0EA31D7A"/>
    <w:rsid w:val="0FD146C5"/>
    <w:rsid w:val="1041184B"/>
    <w:rsid w:val="111D5E14"/>
    <w:rsid w:val="17D3547E"/>
    <w:rsid w:val="198C7FDB"/>
    <w:rsid w:val="1A085187"/>
    <w:rsid w:val="1A7D3DC7"/>
    <w:rsid w:val="1EFA3C38"/>
    <w:rsid w:val="291E0523"/>
    <w:rsid w:val="2B053749"/>
    <w:rsid w:val="2CDC34D0"/>
    <w:rsid w:val="31692558"/>
    <w:rsid w:val="33A930DF"/>
    <w:rsid w:val="353A0493"/>
    <w:rsid w:val="35647C06"/>
    <w:rsid w:val="363B0967"/>
    <w:rsid w:val="365E28A7"/>
    <w:rsid w:val="376A3337"/>
    <w:rsid w:val="38AC5B4C"/>
    <w:rsid w:val="39F8074B"/>
    <w:rsid w:val="3AF77A81"/>
    <w:rsid w:val="3BD163C3"/>
    <w:rsid w:val="3DF106B1"/>
    <w:rsid w:val="3E077380"/>
    <w:rsid w:val="404B79F8"/>
    <w:rsid w:val="47503B46"/>
    <w:rsid w:val="47743CD8"/>
    <w:rsid w:val="48027536"/>
    <w:rsid w:val="49372EC6"/>
    <w:rsid w:val="50A867A1"/>
    <w:rsid w:val="51F872B4"/>
    <w:rsid w:val="559D43FA"/>
    <w:rsid w:val="55B81234"/>
    <w:rsid w:val="567809C3"/>
    <w:rsid w:val="569E48CE"/>
    <w:rsid w:val="5A3B68D8"/>
    <w:rsid w:val="5E8C5954"/>
    <w:rsid w:val="6094660A"/>
    <w:rsid w:val="623A387E"/>
    <w:rsid w:val="63FE0704"/>
    <w:rsid w:val="65051FBC"/>
    <w:rsid w:val="66C14683"/>
    <w:rsid w:val="69E44896"/>
    <w:rsid w:val="6D521B17"/>
    <w:rsid w:val="71D7083C"/>
    <w:rsid w:val="727E6F0A"/>
    <w:rsid w:val="7BC77B74"/>
    <w:rsid w:val="7E5A4CC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Calibri" w:hAnsi="Calibri" w:eastAsia="仿宋_GB2312" w:cs="Arial"/>
      <w:kern w:val="2"/>
      <w:sz w:val="32"/>
      <w:szCs w:val="22"/>
      <w:lang w:val="en-US" w:eastAsia="zh-CN" w:bidi="ar-SA"/>
    </w:rPr>
  </w:style>
  <w:style w:type="paragraph" w:styleId="2">
    <w:name w:val="heading 1"/>
    <w:basedOn w:val="1"/>
    <w:next w:val="1"/>
    <w:qFormat/>
    <w:uiPriority w:val="0"/>
    <w:pPr>
      <w:keepNext/>
      <w:keepLines/>
      <w:widowControl w:val="0"/>
      <w:spacing w:line="360" w:lineRule="auto"/>
      <w:outlineLvl w:val="0"/>
    </w:pPr>
    <w:rPr>
      <w:rFonts w:eastAsia="黑体"/>
      <w:b/>
      <w:bCs/>
      <w:kern w:val="44"/>
      <w:szCs w:val="44"/>
    </w:rPr>
  </w:style>
  <w:style w:type="paragraph" w:styleId="3">
    <w:name w:val="heading 2"/>
    <w:basedOn w:val="1"/>
    <w:next w:val="1"/>
    <w:qFormat/>
    <w:uiPriority w:val="0"/>
    <w:pPr>
      <w:keepNext/>
      <w:keepLines/>
      <w:widowControl w:val="0"/>
      <w:spacing w:line="360" w:lineRule="auto"/>
      <w:outlineLvl w:val="1"/>
    </w:pPr>
    <w:rPr>
      <w:rFonts w:ascii="Calibri Light" w:hAnsi="Calibri Light" w:eastAsia="楷体_GB2312" w:cs="Times New Roman"/>
      <w:b/>
      <w:bCs/>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alloon Text"/>
    <w:basedOn w:val="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9">
    <w:name w:val="Title"/>
    <w:basedOn w:val="1"/>
    <w:next w:val="1"/>
    <w:qFormat/>
    <w:uiPriority w:val="0"/>
    <w:pPr>
      <w:spacing w:before="240" w:after="60"/>
      <w:jc w:val="center"/>
      <w:outlineLvl w:val="0"/>
    </w:pPr>
    <w:rPr>
      <w:rFonts w:ascii="Calibri Light" w:hAnsi="Calibri Light" w:eastAsia="黑体" w:cs="Times New Roman"/>
      <w:b/>
      <w:bCs/>
      <w:sz w:val="44"/>
      <w:szCs w:val="32"/>
    </w:rPr>
  </w:style>
  <w:style w:type="paragraph" w:styleId="12">
    <w:name w:val="List Paragraph"/>
    <w:basedOn w:val="1"/>
    <w:qFormat/>
    <w:uiPriority w:val="0"/>
  </w:style>
  <w:style w:type="paragraph" w:styleId="13">
    <w:name w:val="No Spacing"/>
    <w:qFormat/>
    <w:uiPriority w:val="0"/>
    <w:pPr>
      <w:widowControl w:val="0"/>
      <w:ind w:firstLine="200" w:firstLineChars="200"/>
      <w:jc w:val="both"/>
    </w:pPr>
    <w:rPr>
      <w:rFonts w:ascii="Calibri" w:hAnsi="Calibri" w:eastAsia="仿宋_GB2312" w:cs="Arial"/>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rgbClr val="000000"/>
                </a:solidFill>
                <a:latin typeface="Times New Roman" panose="02020603050405020304"/>
                <a:ea typeface="宋体" panose="02010600030101010101" charset="-122"/>
                <a:cs typeface="Lucida Sans" panose="020B0602030504020204"/>
              </a:defRPr>
            </a:pPr>
            <a:r>
              <a:rPr lang="zh-CN" sz="1400" b="0" i="0" u="none" strike="noStrike" baseline="0">
                <a:solidFill>
                  <a:srgbClr val="595959"/>
                </a:solidFill>
                <a:latin typeface="Calibri" panose="020F0502020204030204"/>
                <a:ea typeface="宋体" panose="02010600030101010101" charset="-122"/>
                <a:cs typeface="Lucida Sans" panose="020B0602030504020204"/>
              </a:rPr>
              <a:t>三次产业占GDP比重</a:t>
            </a:r>
            <a:endParaRPr lang="zh-CN" sz="1400" b="0" i="0" u="none" strike="noStrike" baseline="0">
              <a:solidFill>
                <a:srgbClr val="595959"/>
              </a:solidFill>
              <a:latin typeface="Calibri" panose="020F0502020204030204"/>
              <a:ea typeface="宋体" panose="02010600030101010101" charset="-122"/>
              <a:cs typeface="Lucida Sans" panose="020B0602030504020204"/>
            </a:endParaRPr>
          </a:p>
        </c:rich>
      </c:tx>
      <c:layout/>
      <c:overlay val="0"/>
      <c:spPr>
        <a:noFill/>
        <a:ln>
          <a:noFill/>
        </a:ln>
      </c:spPr>
    </c:title>
    <c:autoTitleDeleted val="0"/>
    <c:plotArea>
      <c:layout/>
      <c:barChart>
        <c:barDir val="bar"/>
        <c:grouping val="clustered"/>
        <c:varyColors val="0"/>
        <c:ser>
          <c:idx val="0"/>
          <c:order val="0"/>
          <c:spPr>
            <a:solidFill>
              <a:srgbClr val="5B9BD5"/>
            </a:solidFill>
            <a:ln w="19050">
              <a:solidFill>
                <a:srgbClr val="FFFFFF"/>
              </a:solidFill>
              <a:prstDash val="solid"/>
            </a:ln>
          </c:spPr>
          <c:invertIfNegative val="0"/>
          <c:dLbls>
            <c:dLbl>
              <c:idx val="0"/>
              <c:layout/>
              <c:tx>
                <c:rich>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panose="020B0602030504020204"/>
                      </a:defRPr>
                    </a:pPr>
                    <a:r>
                      <a:rPr lang="zh-CN"/>
                      <a:t>0.</a:t>
                    </a:r>
                    <a:r>
                      <a:rPr lang="en-US" altLang="zh-CN"/>
                      <a:t>2</a:t>
                    </a:r>
                    <a:r>
                      <a:rPr lang="zh-CN"/>
                      <a:t>%</a:t>
                    </a:r>
                    <a:endParaRPr lang="zh-CN"/>
                  </a:p>
                </c:rich>
              </c:tx>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panose="020B0602030504020204"/>
                    </a:defRPr>
                  </a:pPr>
                </a:p>
              </c:txPr>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panose="020B0602030504020204"/>
                      </a:defRPr>
                    </a:pPr>
                    <a:r>
                      <a:rPr lang="zh-CN" sz="900" b="0" i="0" u="none" strike="noStrike" baseline="0">
                        <a:solidFill>
                          <a:srgbClr val="404040"/>
                        </a:solidFill>
                        <a:latin typeface="Times New Roman" panose="02020603050405020304"/>
                        <a:ea typeface="宋体" panose="02010600030101010101" charset="-122"/>
                        <a:cs typeface="Lucida Sans" panose="020B0602030504020204"/>
                      </a:rPr>
                      <a:t>2</a:t>
                    </a:r>
                    <a:r>
                      <a:rPr lang="en-US" altLang="zh-CN" sz="900" b="0" i="0" u="none" strike="noStrike" baseline="0">
                        <a:solidFill>
                          <a:srgbClr val="404040"/>
                        </a:solidFill>
                        <a:latin typeface="Times New Roman" panose="02020603050405020304"/>
                        <a:ea typeface="宋体" panose="02010600030101010101" charset="-122"/>
                        <a:cs typeface="Lucida Sans" panose="020B0602030504020204"/>
                      </a:rPr>
                      <a:t>6.7</a:t>
                    </a:r>
                    <a:r>
                      <a:rPr lang="zh-CN" sz="900" b="0" i="0" u="none" strike="noStrike" baseline="0">
                        <a:solidFill>
                          <a:srgbClr val="404040"/>
                        </a:solidFill>
                        <a:latin typeface="Times New Roman" panose="02020603050405020304"/>
                        <a:ea typeface="宋体" panose="02010600030101010101" charset="-122"/>
                        <a:cs typeface="Lucida Sans" panose="020B0602030504020204"/>
                      </a:rPr>
                      <a:t>%</a:t>
                    </a:r>
                    <a:endParaRPr lang="zh-CN" sz="900" b="0" i="0" u="none" strike="noStrike" baseline="0">
                      <a:solidFill>
                        <a:srgbClr val="404040"/>
                      </a:solidFill>
                      <a:latin typeface="Times New Roman" panose="02020603050405020304"/>
                      <a:ea typeface="宋体" panose="02010600030101010101" charset="-122"/>
                      <a:cs typeface="Lucida Sans" panose="020B0602030504020204"/>
                    </a:endParaRPr>
                  </a:p>
                </c:rich>
              </c:tx>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panose="020B0602030504020204"/>
                    </a:defRPr>
                  </a:pPr>
                </a:p>
              </c:txPr>
              <c:dLblPos val="outEnd"/>
              <c:showLegendKey val="0"/>
              <c:showVal val="1"/>
              <c:showCatName val="0"/>
              <c:showSerName val="0"/>
              <c:showPercent val="0"/>
              <c:showBubbleSize val="0"/>
              <c:extLst>
                <c:ext xmlns:c15="http://schemas.microsoft.com/office/drawing/2012/chart" uri="{CE6537A1-D6FC-4f65-9D91-7224C49458BB}"/>
              </c:extLst>
            </c:dLbl>
            <c:dLbl>
              <c:idx val="2"/>
              <c:layout>
                <c:manualLayout>
                  <c:x val="-0.0018059234"/>
                  <c:y val="0"/>
                </c:manualLayout>
              </c:layout>
              <c:tx>
                <c:rich>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panose="020B0602030504020204"/>
                      </a:defRPr>
                    </a:pPr>
                    <a:r>
                      <a:rPr lang="zh-CN" sz="900" b="0" i="0" u="none" strike="noStrike" baseline="0">
                        <a:solidFill>
                          <a:srgbClr val="404040"/>
                        </a:solidFill>
                        <a:latin typeface="Times New Roman" panose="02020603050405020304"/>
                        <a:ea typeface="宋体" panose="02010600030101010101" charset="-122"/>
                        <a:cs typeface="Lucida Sans" panose="020B0602030504020204"/>
                      </a:rPr>
                      <a:t>7</a:t>
                    </a:r>
                    <a:r>
                      <a:rPr lang="en-US" altLang="zh-CN" sz="900" b="0" i="0" u="none" strike="noStrike" baseline="0">
                        <a:solidFill>
                          <a:srgbClr val="404040"/>
                        </a:solidFill>
                        <a:latin typeface="Times New Roman" panose="02020603050405020304"/>
                        <a:ea typeface="宋体" panose="02010600030101010101" charset="-122"/>
                        <a:cs typeface="Lucida Sans" panose="020B0602030504020204"/>
                      </a:rPr>
                      <a:t>3.1</a:t>
                    </a:r>
                    <a:r>
                      <a:rPr lang="zh-CN" sz="900" b="0" i="0" u="none" strike="noStrike" baseline="0">
                        <a:solidFill>
                          <a:srgbClr val="404040"/>
                        </a:solidFill>
                        <a:latin typeface="Times New Roman" panose="02020603050405020304"/>
                        <a:ea typeface="宋体" panose="02010600030101010101" charset="-122"/>
                        <a:cs typeface="Lucida Sans" panose="020B0602030504020204"/>
                      </a:rPr>
                      <a:t>%</a:t>
                    </a:r>
                    <a:endParaRPr lang="zh-CN" sz="900" b="0" i="0" u="none" strike="noStrike" baseline="0">
                      <a:solidFill>
                        <a:srgbClr val="404040"/>
                      </a:solidFill>
                      <a:latin typeface="Times New Roman" panose="02020603050405020304"/>
                      <a:ea typeface="宋体" panose="02010600030101010101" charset="-122"/>
                      <a:cs typeface="Lucida Sans" panose="020B0602030504020204"/>
                    </a:endParaRPr>
                  </a:p>
                </c:rich>
              </c:tx>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panose="020B0602030504020204"/>
                    </a:defRPr>
                  </a:pPr>
                </a:p>
              </c:txPr>
              <c:dLblPos val="outEnd"/>
              <c:showLegendKey val="0"/>
              <c:showVal val="1"/>
              <c:showCatName val="0"/>
              <c:showSerName val="0"/>
              <c:showPercent val="0"/>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panose="020B0602030504020204"/>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{"第一产业","第二产业","第三产业"}</c:f>
              <c:strCache>
                <c:ptCount val="3"/>
                <c:pt idx="0">
                  <c:v>第一产业</c:v>
                </c:pt>
                <c:pt idx="1">
                  <c:v>第二产业</c:v>
                </c:pt>
                <c:pt idx="2">
                  <c:v>第三产业</c:v>
                </c:pt>
              </c:strCache>
            </c:strRef>
          </c:cat>
          <c:val>
            <c:numRef>
              <c:f>{0.00155541881393739,0.293748634720406,0.704695946465656}</c:f>
              <c:numCache>
                <c:formatCode>0.00%</c:formatCode>
                <c:ptCount val="3"/>
                <c:pt idx="0">
                  <c:v>0.00155541881393739</c:v>
                </c:pt>
                <c:pt idx="1">
                  <c:v>0.293748634720406</c:v>
                </c:pt>
                <c:pt idx="2">
                  <c:v>0.704695946465656</c:v>
                </c:pt>
              </c:numCache>
            </c:numRef>
          </c:val>
        </c:ser>
        <c:dLbls>
          <c:showLegendKey val="0"/>
          <c:showVal val="1"/>
          <c:showCatName val="0"/>
          <c:showSerName val="0"/>
          <c:showPercent val="0"/>
          <c:showBubbleSize val="0"/>
        </c:dLbls>
        <c:gapWidth val="150"/>
        <c:axId val="0"/>
        <c:axId val="1"/>
      </c:barChart>
      <c:catAx>
        <c:axId val="0"/>
        <c:scaling>
          <c:orientation val="minMax"/>
        </c:scaling>
        <c:delete val="0"/>
        <c:axPos val="l"/>
        <c:numFmt formatCode="General" sourceLinked="0"/>
        <c:majorTickMark val="none"/>
        <c:minorTickMark val="none"/>
        <c:tickLblPos val="nextTo"/>
        <c:spPr>
          <a:ln w="6350" cap="flat" cmpd="sng" algn="ctr">
            <a:solidFill>
              <a:srgbClr val="D9D9D9"/>
            </a:solid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panose="020B0602030504020204"/>
              </a:defRPr>
            </a:pPr>
          </a:p>
        </c:txPr>
        <c:crossAx val="1"/>
        <c:crosses val="autoZero"/>
        <c:auto val="1"/>
        <c:lblAlgn val="ctr"/>
        <c:lblOffset val="100"/>
        <c:noMultiLvlLbl val="0"/>
      </c:catAx>
      <c:valAx>
        <c:axId val="1"/>
        <c:scaling>
          <c:orientation val="minMax"/>
        </c:scaling>
        <c:delete val="0"/>
        <c:axPos val="b"/>
        <c:majorGridlines>
          <c:spPr>
            <a:ln w="6350" cap="flat" cmpd="sng" algn="ctr">
              <a:solidFill>
                <a:srgbClr val="D9D9D9"/>
              </a:solidFill>
              <a:prstDash val="solid"/>
              <a:round/>
            </a:ln>
          </c:spPr>
        </c:majorGridlines>
        <c:numFmt formatCode="0.00%"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panose="020B0602030504020204"/>
              </a:defRPr>
            </a:pPr>
          </a:p>
        </c:txPr>
        <c:crossAx val="0"/>
        <c:crossesAt val="1"/>
        <c:crossBetween val="between"/>
      </c:valAx>
      <c:spPr>
        <a:noFill/>
        <a:ln>
          <a:noFill/>
        </a:ln>
      </c:spPr>
    </c:plotArea>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panose="020B0602030504020204"/>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52818733738075"/>
          <c:y val="0.0661244912386665"/>
          <c:w val="0.881109101868595"/>
          <c:h val="0.709031446540881"/>
        </c:manualLayout>
      </c:layout>
      <c:barChart>
        <c:barDir val="col"/>
        <c:grouping val="clustered"/>
        <c:varyColors val="0"/>
        <c:ser>
          <c:idx val="0"/>
          <c:order val="0"/>
          <c:tx>
            <c:strRef>
              <c:f>Sheet1!$B$1</c:f>
              <c:strCache>
                <c:ptCount val="1"/>
                <c:pt idx="0">
                  <c:v>2023年完成总产值（亿元）</c:v>
                </c:pt>
              </c:strCache>
            </c:strRef>
          </c:tx>
          <c:spPr>
            <a:solidFill>
              <a:schemeClr val="accent1"/>
            </a:solidFill>
            <a:ln>
              <a:noFill/>
            </a:ln>
            <a:effectLst/>
          </c:spPr>
          <c:invertIfNegative val="0"/>
          <c:dLbls>
            <c:dLbl>
              <c:idx val="0"/>
              <c:layout>
                <c:manualLayout>
                  <c:x val="0.00192887281494874"/>
                  <c:y val="0.018113207547169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ea"/>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一季度</c:v>
                </c:pt>
                <c:pt idx="1">
                  <c:v>二季度</c:v>
                </c:pt>
                <c:pt idx="2">
                  <c:v>三季度</c:v>
                </c:pt>
                <c:pt idx="3">
                  <c:v>四季度</c:v>
                </c:pt>
              </c:strCache>
            </c:strRef>
          </c:cat>
          <c:val>
            <c:numRef>
              <c:f>Sheet1!$B$2:$B$5</c:f>
              <c:numCache>
                <c:formatCode>General</c:formatCode>
                <c:ptCount val="4"/>
                <c:pt idx="0">
                  <c:v>6.9</c:v>
                </c:pt>
                <c:pt idx="1">
                  <c:v>26.8</c:v>
                </c:pt>
                <c:pt idx="2">
                  <c:v>52.8</c:v>
                </c:pt>
                <c:pt idx="3">
                  <c:v>94.8</c:v>
                </c:pt>
              </c:numCache>
            </c:numRef>
          </c:val>
        </c:ser>
        <c:dLbls>
          <c:showLegendKey val="0"/>
          <c:showVal val="1"/>
          <c:showCatName val="0"/>
          <c:showSerName val="0"/>
          <c:showPercent val="0"/>
          <c:showBubbleSize val="0"/>
        </c:dLbls>
        <c:gapWidth val="219"/>
        <c:overlap val="-27"/>
        <c:axId val="185353728"/>
        <c:axId val="185436416"/>
      </c:barChart>
      <c:lineChart>
        <c:grouping val="standard"/>
        <c:varyColors val="0"/>
        <c:ser>
          <c:idx val="2"/>
          <c:order val="1"/>
          <c:tx>
            <c:strRef>
              <c:f>Sheet1!$C$1</c:f>
              <c:strCache>
                <c:ptCount val="1"/>
                <c:pt idx="0">
                  <c:v>  同比（%）</c:v>
                </c:pt>
              </c:strCache>
            </c:strRef>
          </c:tx>
          <c:spPr>
            <a:ln w="28575" cap="sq" cmpd="sng" algn="ctr">
              <a:solidFill>
                <a:srgbClr val="FF0000">
                  <a:alpha val="77000"/>
                </a:srgbClr>
              </a:solidFill>
              <a:prstDash val="solid"/>
              <a:bevel/>
              <a:headEnd type="oval"/>
              <a:tailEnd type="oval"/>
            </a:ln>
            <a:effectLst/>
          </c:spPr>
          <c:marker>
            <c:symbol val="none"/>
          </c:marker>
          <c:dPt>
            <c:idx val="2"/>
            <c:marker>
              <c:symbol val="none"/>
            </c:marker>
            <c:bubble3D val="0"/>
            <c:explosion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一季度</c:v>
                </c:pt>
                <c:pt idx="1">
                  <c:v>二季度</c:v>
                </c:pt>
                <c:pt idx="2">
                  <c:v>三季度</c:v>
                </c:pt>
                <c:pt idx="3">
                  <c:v>四季度</c:v>
                </c:pt>
              </c:strCache>
            </c:strRef>
          </c:cat>
          <c:val>
            <c:numRef>
              <c:f>Sheet1!$C$2:$C$5</c:f>
              <c:numCache>
                <c:formatCode>General</c:formatCode>
                <c:ptCount val="4"/>
                <c:pt idx="0">
                  <c:v>45.6</c:v>
                </c:pt>
                <c:pt idx="1">
                  <c:v>6.6</c:v>
                </c:pt>
                <c:pt idx="2">
                  <c:v>-15.7</c:v>
                </c:pt>
                <c:pt idx="3">
                  <c:v>-6.3</c:v>
                </c:pt>
              </c:numCache>
            </c:numRef>
          </c:val>
          <c:smooth val="0"/>
        </c:ser>
        <c:dLbls>
          <c:showLegendKey val="0"/>
          <c:showVal val="1"/>
          <c:showCatName val="0"/>
          <c:showSerName val="0"/>
          <c:showPercent val="0"/>
          <c:showBubbleSize val="0"/>
        </c:dLbls>
        <c:marker val="0"/>
        <c:smooth val="0"/>
        <c:axId val="125289908"/>
        <c:axId val="414263933"/>
      </c:lineChart>
      <c:catAx>
        <c:axId val="18535372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crossAx val="185436416"/>
        <c:crosses val="autoZero"/>
        <c:auto val="1"/>
        <c:lblAlgn val="ctr"/>
        <c:lblOffset val="100"/>
        <c:noMultiLvlLbl val="0"/>
      </c:catAx>
      <c:valAx>
        <c:axId val="185436416"/>
        <c:scaling>
          <c:orientation val="minMax"/>
          <c:max val="120"/>
          <c:min val="0"/>
        </c:scaling>
        <c:delete val="0"/>
        <c:axPos val="l"/>
        <c:majorGridlines>
          <c:spPr>
            <a:ln w="9525" cap="flat" cmpd="sng" algn="ctr">
              <a:solidFill>
                <a:schemeClr val="tx1">
                  <a:lumMod val="15000"/>
                  <a:lumOff val="85000"/>
                </a:schemeClr>
              </a:solidFill>
              <a:prstDash val="solid"/>
              <a:round/>
            </a:ln>
            <a:effectLst/>
          </c:spPr>
        </c:majorGridlines>
        <c:numFmt formatCode="0.0;0;0" sourceLinked="0"/>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crossAx val="185353728"/>
        <c:crosses val="autoZero"/>
        <c:crossBetween val="between"/>
      </c:valAx>
      <c:catAx>
        <c:axId val="125289908"/>
        <c:scaling>
          <c:orientation val="minMax"/>
        </c:scaling>
        <c:delete val="1"/>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14263933"/>
        <c:crosses val="autoZero"/>
        <c:auto val="1"/>
        <c:lblAlgn val="ctr"/>
        <c:lblOffset val="100"/>
        <c:noMultiLvlLbl val="0"/>
      </c:catAx>
      <c:valAx>
        <c:axId val="414263933"/>
        <c:scaling>
          <c:orientation val="minMax"/>
        </c:scaling>
        <c:delete val="0"/>
        <c:axPos val="r"/>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5289908"/>
        <c:crosses val="max"/>
        <c:crossBetween val="between"/>
      </c:valAx>
    </c:plotArea>
    <c:legend>
      <c:legendPos val="b"/>
      <c:layout>
        <c:manualLayout>
          <c:xMode val="edge"/>
          <c:yMode val="edge"/>
          <c:x val="0.23001808318264"/>
          <c:y val="0.881006289308176"/>
          <c:w val="0.595177817962628"/>
          <c:h val="0.0845283018867925"/>
        </c:manualLayout>
      </c:layout>
      <c:overlay val="0"/>
      <c:spPr>
        <a:noFill/>
        <a:ln>
          <a:noFill/>
        </a:ln>
        <a:effectLst/>
      </c:spPr>
      <c:txPr>
        <a:bodyPr rot="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en-US" altLang="zh-CN" b="0"/>
              <a:t>1-12</a:t>
            </a:r>
            <a:r>
              <a:rPr altLang="en-US" b="0"/>
              <a:t>月份固定资产投资完成情况</a:t>
            </a:r>
            <a:endParaRPr altLang="en-US" b="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总量（亿元）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全区投资</c:v>
                </c:pt>
                <c:pt idx="1">
                  <c:v>500万元以上项目</c:v>
                </c:pt>
                <c:pt idx="2">
                  <c:v>房地产项目</c:v>
                </c:pt>
              </c:strCache>
            </c:strRef>
          </c:cat>
          <c:val>
            <c:numRef>
              <c:f>Sheet1!$B$2:$B$4</c:f>
              <c:numCache>
                <c:formatCode>General</c:formatCode>
                <c:ptCount val="3"/>
                <c:pt idx="0">
                  <c:v>136.6</c:v>
                </c:pt>
                <c:pt idx="1">
                  <c:v>93.2</c:v>
                </c:pt>
                <c:pt idx="2">
                  <c:v>33.9</c:v>
                </c:pt>
              </c:numCache>
            </c:numRef>
          </c:val>
        </c:ser>
        <c:dLbls>
          <c:showLegendKey val="0"/>
          <c:showVal val="1"/>
          <c:showCatName val="0"/>
          <c:showSerName val="0"/>
          <c:showPercent val="0"/>
          <c:showBubbleSize val="0"/>
        </c:dLbls>
        <c:gapWidth val="219"/>
        <c:overlap val="-27"/>
        <c:axId val="387903541"/>
        <c:axId val="469751643"/>
      </c:barChart>
      <c:lineChart>
        <c:grouping val="standard"/>
        <c:varyColors val="0"/>
        <c:ser>
          <c:idx val="2"/>
          <c:order val="1"/>
          <c:tx>
            <c:strRef>
              <c:f>Sheet1!$C$1</c:f>
              <c:strCache>
                <c:ptCount val="1"/>
                <c:pt idx="0">
                  <c:v>同比增速（%）</c:v>
                </c:pt>
              </c:strCache>
            </c:strRef>
          </c:tx>
          <c:spPr>
            <a:ln w="28575" cap="rnd">
              <a:solidFill>
                <a:schemeClr val="accent6"/>
              </a:solidFill>
              <a:round/>
            </a:ln>
            <a:effectLst/>
          </c:spPr>
          <c:marker>
            <c:symbol val="none"/>
          </c:marker>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全区投资</c:v>
                </c:pt>
                <c:pt idx="1">
                  <c:v>500万元以上项目</c:v>
                </c:pt>
                <c:pt idx="2">
                  <c:v>房地产项目</c:v>
                </c:pt>
              </c:strCache>
            </c:strRef>
          </c:cat>
          <c:val>
            <c:numRef>
              <c:f>Sheet1!$C$2:$C$4</c:f>
              <c:numCache>
                <c:formatCode>General</c:formatCode>
                <c:ptCount val="3"/>
                <c:pt idx="0">
                  <c:v>13.2</c:v>
                </c:pt>
                <c:pt idx="1">
                  <c:v>-6</c:v>
                </c:pt>
                <c:pt idx="2">
                  <c:v>57.6</c:v>
                </c:pt>
              </c:numCache>
            </c:numRef>
          </c:val>
          <c:smooth val="0"/>
        </c:ser>
        <c:dLbls>
          <c:showLegendKey val="0"/>
          <c:showVal val="1"/>
          <c:showCatName val="0"/>
          <c:showSerName val="0"/>
          <c:showPercent val="0"/>
          <c:showBubbleSize val="0"/>
        </c:dLbls>
        <c:marker val="0"/>
        <c:smooth val="0"/>
        <c:axId val="932911649"/>
        <c:axId val="46437928"/>
      </c:lineChart>
      <c:catAx>
        <c:axId val="38790354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9751643"/>
        <c:crosses val="autoZero"/>
        <c:auto val="1"/>
        <c:lblAlgn val="ctr"/>
        <c:lblOffset val="100"/>
        <c:noMultiLvlLbl val="0"/>
      </c:catAx>
      <c:valAx>
        <c:axId val="469751643"/>
        <c:scaling>
          <c:orientation val="minMax"/>
        </c:scaling>
        <c:delete val="0"/>
        <c:axPos val="l"/>
        <c:majorGridlines>
          <c:spPr>
            <a:ln w="9525" cap="flat" cmpd="sng" algn="ctr">
              <a:solidFill>
                <a:schemeClr val="lt1">
                  <a:lumMod val="90200"/>
                </a:schemeClr>
              </a:solidFill>
              <a:round/>
            </a:ln>
            <a:effectLst/>
          </c:spPr>
        </c:majorGridlines>
        <c:minorGridlines>
          <c:spPr>
            <a:ln w="9525" cap="flat" cmpd="sng" algn="ctr">
              <a:solidFill>
                <a:schemeClr val="bg1"/>
              </a:solidFill>
              <a:round/>
            </a:ln>
            <a:effectLst/>
          </c:spPr>
        </c:minorGridlines>
        <c:numFmt formatCode="General" sourceLinked="0"/>
        <c:majorTickMark val="cross"/>
        <c:minorTickMark val="none"/>
        <c:tickLblPos val="nextTo"/>
        <c:spPr>
          <a:noFill/>
          <a:ln>
            <a:solidFill>
              <a:schemeClr val="accent1"/>
            </a:solid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7903541"/>
        <c:crosses val="autoZero"/>
        <c:crossBetween val="between"/>
      </c:valAx>
      <c:catAx>
        <c:axId val="932911649"/>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437928"/>
        <c:crosses val="autoZero"/>
        <c:auto val="1"/>
        <c:lblAlgn val="ctr"/>
        <c:lblOffset val="100"/>
        <c:noMultiLvlLbl val="0"/>
      </c:catAx>
      <c:valAx>
        <c:axId val="46437928"/>
        <c:scaling>
          <c:orientation val="minMax"/>
        </c:scaling>
        <c:delete val="0"/>
        <c:axPos val="r"/>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2911649"/>
        <c:crosses val="max"/>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rgbClr val="000000"/>
                </a:solidFill>
                <a:latin typeface="Times New Roman" panose="02020603050405020304"/>
                <a:ea typeface="宋体" panose="02010600030101010101" charset="-122"/>
                <a:cs typeface="Lucida Sans" panose="020B0602030504020204"/>
              </a:defRPr>
            </a:pPr>
            <a:r>
              <a:rPr lang="zh-CN" sz="1400" b="0" i="0" u="none" strike="noStrike" baseline="0">
                <a:solidFill>
                  <a:srgbClr val="595959"/>
                </a:solidFill>
                <a:latin typeface="Times New Roman" panose="02020603050405020304"/>
                <a:ea typeface="宋体" panose="02010600030101010101" charset="-122"/>
                <a:cs typeface="Lucida Sans" panose="020B0602030504020204"/>
              </a:rPr>
              <a:t>1-12月限额以上社零额总量、增速分布</a:t>
            </a:r>
            <a:endParaRPr lang="zh-CN" sz="1400" b="0" i="0" u="none" strike="noStrike" baseline="0">
              <a:solidFill>
                <a:srgbClr val="595959"/>
              </a:solidFill>
              <a:latin typeface="Times New Roman" panose="02020603050405020304"/>
              <a:ea typeface="宋体" panose="02010600030101010101" charset="-122"/>
              <a:cs typeface="Lucida Sans" panose="020B0602030504020204"/>
            </a:endParaRPr>
          </a:p>
        </c:rich>
      </c:tx>
      <c:layout/>
      <c:overlay val="0"/>
      <c:spPr>
        <a:noFill/>
        <a:ln>
          <a:noFill/>
        </a:ln>
      </c:spPr>
    </c:title>
    <c:autoTitleDeleted val="0"/>
    <c:plotArea>
      <c:layout>
        <c:manualLayout>
          <c:layoutTarget val="inner"/>
          <c:xMode val="edge"/>
          <c:yMode val="edge"/>
          <c:x val="0.059799757"/>
          <c:y val="0.13030404"/>
          <c:w val="0.87362546"/>
          <c:h val="0.7594387"/>
        </c:manualLayout>
      </c:layout>
      <c:barChart>
        <c:barDir val="col"/>
        <c:grouping val="clustered"/>
        <c:varyColors val="0"/>
        <c:ser>
          <c:idx val="0"/>
          <c:order val="0"/>
          <c:tx>
            <c:strRef>
              <c:f>'Sheet1 (2)'!$B$1</c:f>
              <c:strCache>
                <c:ptCount val="1"/>
                <c:pt idx="0">
                  <c:v>总量(亿元)</c:v>
                </c:pt>
              </c:strCache>
            </c:strRef>
          </c:tx>
          <c:spPr>
            <a:solidFill>
              <a:srgbClr val="5B9BD5"/>
            </a:solidFill>
            <a:ln>
              <a:noFill/>
            </a:ln>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panose="020B0602030504020204"/>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 (2)'!$A$2:$A$12</c:f>
              <c:strCache>
                <c:ptCount val="11"/>
                <c:pt idx="0">
                  <c:v>1-2月</c:v>
                </c:pt>
                <c:pt idx="1">
                  <c:v>1-3月</c:v>
                </c:pt>
                <c:pt idx="2">
                  <c:v>1-4月</c:v>
                </c:pt>
                <c:pt idx="3">
                  <c:v>1-5月</c:v>
                </c:pt>
                <c:pt idx="4">
                  <c:v>1-6月</c:v>
                </c:pt>
                <c:pt idx="5">
                  <c:v>1-7月</c:v>
                </c:pt>
                <c:pt idx="6">
                  <c:v>1-8月</c:v>
                </c:pt>
                <c:pt idx="7">
                  <c:v>1-9月</c:v>
                </c:pt>
                <c:pt idx="8">
                  <c:v>1-10月</c:v>
                </c:pt>
                <c:pt idx="9">
                  <c:v>1-11月</c:v>
                </c:pt>
                <c:pt idx="10">
                  <c:v>1-12月</c:v>
                </c:pt>
              </c:strCache>
            </c:strRef>
          </c:cat>
          <c:val>
            <c:numRef>
              <c:f>'Sheet1 (2)'!$B$2:$B$12</c:f>
              <c:numCache>
                <c:formatCode>General</c:formatCode>
                <c:ptCount val="11"/>
                <c:pt idx="0">
                  <c:v>34.2</c:v>
                </c:pt>
                <c:pt idx="1">
                  <c:v>51.9</c:v>
                </c:pt>
                <c:pt idx="2">
                  <c:v>67.7</c:v>
                </c:pt>
                <c:pt idx="3">
                  <c:v>85</c:v>
                </c:pt>
                <c:pt idx="4">
                  <c:v>110</c:v>
                </c:pt>
                <c:pt idx="5">
                  <c:v>130.4</c:v>
                </c:pt>
                <c:pt idx="6">
                  <c:v>127.7</c:v>
                </c:pt>
                <c:pt idx="7">
                  <c:v>147</c:v>
                </c:pt>
                <c:pt idx="8">
                  <c:v>163.7</c:v>
                </c:pt>
                <c:pt idx="9">
                  <c:v>180</c:v>
                </c:pt>
                <c:pt idx="10">
                  <c:v>194.2</c:v>
                </c:pt>
              </c:numCache>
            </c:numRef>
          </c:val>
        </c:ser>
        <c:dLbls>
          <c:showLegendKey val="0"/>
          <c:showVal val="1"/>
          <c:showCatName val="0"/>
          <c:showSerName val="0"/>
          <c:showPercent val="0"/>
          <c:showBubbleSize val="0"/>
        </c:dLbls>
        <c:gapWidth val="219"/>
        <c:overlap val="-27"/>
        <c:axId val="0"/>
        <c:axId val="1"/>
      </c:barChart>
      <c:lineChart>
        <c:grouping val="standard"/>
        <c:varyColors val="0"/>
        <c:ser>
          <c:idx val="1"/>
          <c:order val="1"/>
          <c:tx>
            <c:strRef>
              <c:f>'Sheet1 (2)'!$C$1</c:f>
              <c:strCache>
                <c:ptCount val="1"/>
                <c:pt idx="0">
                  <c:v>增速（%）</c:v>
                </c:pt>
              </c:strCache>
            </c:strRef>
          </c:tx>
          <c:spPr>
            <a:ln w="25400" cap="rnd" cmpd="sng" algn="ctr">
              <a:solidFill>
                <a:srgbClr val="ED7D31"/>
              </a:solidFill>
              <a:prstDash val="solid"/>
              <a:round/>
            </a:ln>
          </c:spPr>
          <c:marker>
            <c:symbol val="circle"/>
            <c:size val="5"/>
            <c:spPr>
              <a:solidFill>
                <a:srgbClr val="ED7D31"/>
              </a:solidFill>
              <a:ln w="9525" cap="flat" cmpd="sng" algn="ctr">
                <a:solidFill>
                  <a:srgbClr val="ED7D31"/>
                </a:solidFill>
                <a:prstDash val="solid"/>
                <a:round/>
              </a:ln>
            </c:spPr>
          </c:marker>
          <c:dLbls>
            <c:dLbl>
              <c:idx val="4"/>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panose="020B0602030504020204"/>
                    </a:defRPr>
                  </a:pPr>
                </a:p>
              </c:txPr>
              <c:dLblPos val="r"/>
              <c:showLegendKey val="0"/>
              <c:showVal val="1"/>
              <c:showCatName val="0"/>
              <c:showSerName val="0"/>
              <c:showPercent val="0"/>
              <c:showBubbleSize val="0"/>
              <c:extLst>
                <c:ext xmlns:c15="http://schemas.microsoft.com/office/drawing/2012/chart" uri="{CE6537A1-D6FC-4f65-9D91-7224C49458BB}"/>
              </c:extLst>
            </c:dLbl>
            <c:dLbl>
              <c:idx val="5"/>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panose="020B0602030504020204"/>
                    </a:defRPr>
                  </a:pPr>
                </a:p>
              </c:txPr>
              <c:dLblPos val="r"/>
              <c:showLegendKey val="0"/>
              <c:showVal val="1"/>
              <c:showCatName val="0"/>
              <c:showSerName val="0"/>
              <c:showPercent val="0"/>
              <c:showBubbleSize val="0"/>
              <c:extLst>
                <c:ext xmlns:c15="http://schemas.microsoft.com/office/drawing/2012/chart" uri="{CE6537A1-D6FC-4f65-9D91-7224C49458BB}"/>
              </c:extLst>
            </c:dLbl>
            <c:dLbl>
              <c:idx val="6"/>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panose="020B0602030504020204"/>
                    </a:defRPr>
                  </a:pPr>
                </a:p>
              </c:txPr>
              <c:dLblPos val="r"/>
              <c:showLegendKey val="0"/>
              <c:showVal val="1"/>
              <c:showCatName val="0"/>
              <c:showSerName val="0"/>
              <c:showPercent val="0"/>
              <c:showBubbleSize val="0"/>
              <c:extLst>
                <c:ext xmlns:c15="http://schemas.microsoft.com/office/drawing/2012/chart" uri="{CE6537A1-D6FC-4f65-9D91-7224C49458BB}"/>
              </c:extLst>
            </c:dLbl>
            <c:dLbl>
              <c:idx val="7"/>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panose="020B0602030504020204"/>
                    </a:defRPr>
                  </a:pPr>
                </a:p>
              </c:txPr>
              <c:dLblPos val="r"/>
              <c:showLegendKey val="0"/>
              <c:showVal val="1"/>
              <c:showCatName val="0"/>
              <c:showSerName val="0"/>
              <c:showPercent val="0"/>
              <c:showBubbleSize val="0"/>
              <c:extLst>
                <c:ext xmlns:c15="http://schemas.microsoft.com/office/drawing/2012/chart" uri="{CE6537A1-D6FC-4f65-9D91-7224C49458BB}"/>
              </c:extLst>
            </c:dLbl>
            <c:dLbl>
              <c:idx val="8"/>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panose="020B0602030504020204"/>
                    </a:defRPr>
                  </a:pPr>
                </a:p>
              </c:txPr>
              <c:dLblPos val="r"/>
              <c:showLegendKey val="0"/>
              <c:showVal val="1"/>
              <c:showCatName val="0"/>
              <c:showSerName val="0"/>
              <c:showPercent val="0"/>
              <c:showBubbleSize val="0"/>
              <c:extLst>
                <c:ext xmlns:c15="http://schemas.microsoft.com/office/drawing/2012/chart" uri="{CE6537A1-D6FC-4f65-9D91-7224C49458BB}"/>
              </c:extLst>
            </c:dLbl>
            <c:dLbl>
              <c:idx val="9"/>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panose="020B0602030504020204"/>
                    </a:defRPr>
                  </a:pPr>
                </a:p>
              </c:txPr>
              <c:dLblPos val="r"/>
              <c:showLegendKey val="0"/>
              <c:showVal val="1"/>
              <c:showCatName val="0"/>
              <c:showSerName val="0"/>
              <c:showPercent val="0"/>
              <c:showBubbleSize val="0"/>
              <c:extLst>
                <c:ext xmlns:c15="http://schemas.microsoft.com/office/drawing/2012/chart" uri="{CE6537A1-D6FC-4f65-9D91-7224C49458BB}"/>
              </c:extLst>
            </c:dLbl>
            <c:dLbl>
              <c:idx val="10"/>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panose="020B0602030504020204"/>
                    </a:defRPr>
                  </a:pPr>
                </a:p>
              </c:txPr>
              <c:dLblPos val="r"/>
              <c:showLegendKey val="0"/>
              <c:showVal val="1"/>
              <c:showCatName val="0"/>
              <c:showSerName val="0"/>
              <c:showPercent val="0"/>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panose="020B0602030504020204"/>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 (2)'!$A$2:$A$12</c:f>
              <c:strCache>
                <c:ptCount val="11"/>
                <c:pt idx="0">
                  <c:v>1-2月</c:v>
                </c:pt>
                <c:pt idx="1">
                  <c:v>1-3月</c:v>
                </c:pt>
                <c:pt idx="2">
                  <c:v>1-4月</c:v>
                </c:pt>
                <c:pt idx="3">
                  <c:v>1-5月</c:v>
                </c:pt>
                <c:pt idx="4">
                  <c:v>1-6月</c:v>
                </c:pt>
                <c:pt idx="5">
                  <c:v>1-7月</c:v>
                </c:pt>
                <c:pt idx="6">
                  <c:v>1-8月</c:v>
                </c:pt>
                <c:pt idx="7">
                  <c:v>1-9月</c:v>
                </c:pt>
                <c:pt idx="8">
                  <c:v>1-10月</c:v>
                </c:pt>
                <c:pt idx="9">
                  <c:v>1-11月</c:v>
                </c:pt>
                <c:pt idx="10">
                  <c:v>1-12月</c:v>
                </c:pt>
              </c:strCache>
            </c:strRef>
          </c:cat>
          <c:val>
            <c:numRef>
              <c:f>'Sheet1 (2)'!$C$2:$C$12</c:f>
              <c:numCache>
                <c:formatCode>General</c:formatCode>
                <c:ptCount val="11"/>
                <c:pt idx="0">
                  <c:v>8.8</c:v>
                </c:pt>
                <c:pt idx="1">
                  <c:v>34.6</c:v>
                </c:pt>
                <c:pt idx="2">
                  <c:v>61.2</c:v>
                </c:pt>
                <c:pt idx="3">
                  <c:v>48.8</c:v>
                </c:pt>
                <c:pt idx="4">
                  <c:v>24.1</c:v>
                </c:pt>
                <c:pt idx="5" c:formatCode="0.0_ ">
                  <c:v>21.6</c:v>
                </c:pt>
                <c:pt idx="6">
                  <c:v>16.1</c:v>
                </c:pt>
                <c:pt idx="7">
                  <c:v>10.6</c:v>
                </c:pt>
                <c:pt idx="8" c:formatCode="0.0_ ">
                  <c:v>7.5</c:v>
                </c:pt>
                <c:pt idx="9">
                  <c:v>3.6</c:v>
                </c:pt>
                <c:pt idx="10" c:formatCode="0.0_ ">
                  <c:v>1.4</c:v>
                </c:pt>
              </c:numCache>
            </c:numRef>
          </c:val>
          <c:smooth val="0"/>
        </c:ser>
        <c:dLbls>
          <c:showLegendKey val="0"/>
          <c:showVal val="1"/>
          <c:showCatName val="0"/>
          <c:showSerName val="0"/>
          <c:showPercent val="0"/>
          <c:showBubbleSize val="0"/>
        </c:dLbls>
        <c:marker val="1"/>
        <c:smooth val="0"/>
        <c:axId val="2"/>
        <c:axId val="3"/>
      </c:lineChart>
      <c:catAx>
        <c:axId val="0"/>
        <c:scaling>
          <c:orientation val="minMax"/>
        </c:scaling>
        <c:delete val="1"/>
        <c:axPos val="b"/>
        <c:numFmt formatCode="General" sourceLinked="1"/>
        <c:majorTickMark val="out"/>
        <c:minorTickMark val="none"/>
        <c:tickLblPos val="nextTo"/>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panose="020B0602030504020204"/>
              </a:defRPr>
            </a:pPr>
          </a:p>
        </c:txPr>
        <c:crossAx val="1"/>
        <c:crosses val="autoZero"/>
        <c:auto val="1"/>
        <c:lblAlgn val="ctr"/>
        <c:lblOffset val="100"/>
        <c:noMultiLvlLbl val="0"/>
      </c:catAx>
      <c:valAx>
        <c:axId val="1"/>
        <c:scaling>
          <c:orientation val="minMax"/>
        </c:scaling>
        <c:delete val="0"/>
        <c:axPos val="r"/>
        <c:numFmt formatCode="General" sourceLinked="1"/>
        <c:majorTickMark val="out"/>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panose="020B0602030504020204"/>
              </a:defRPr>
            </a:pPr>
          </a:p>
        </c:txPr>
        <c:crossAx val="0"/>
        <c:crosses val="max"/>
        <c:crossBetween val="between"/>
      </c:valAx>
      <c:dateAx>
        <c:axId val="2"/>
        <c:scaling>
          <c:orientation val="minMax"/>
        </c:scaling>
        <c:delete val="0"/>
        <c:axPos val="b"/>
        <c:numFmt formatCode="General" sourceLinked="1"/>
        <c:majorTickMark val="none"/>
        <c:minorTickMark val="none"/>
        <c:tickLblPos val="low"/>
        <c:spPr>
          <a:ln w="6350" cap="flat" cmpd="sng" algn="ctr">
            <a:solidFill>
              <a:srgbClr val="D9D9D9"/>
            </a:solidFill>
            <a:prstDash val="solid"/>
            <a:round/>
          </a:ln>
        </c:spPr>
        <c:txPr>
          <a:bodyPr rot="-60000000" spcFirstLastPara="0" vertOverflow="ellipsis" vert="horz" wrap="square" anchor="ctr" anchorCtr="1" forceAA="0"/>
          <a:lstStyle/>
          <a:p>
            <a:pPr>
              <a:defRPr lang="zh-CN" sz="900" b="0" i="0" u="none" strike="noStrike" kern="1200" baseline="0">
                <a:solidFill>
                  <a:srgbClr val="595959"/>
                </a:solidFill>
                <a:latin typeface="Times New Roman" panose="02020603050405020304"/>
                <a:ea typeface="宋体" panose="02010600030101010101" charset="-122"/>
                <a:cs typeface="Lucida Sans" panose="020B0602030504020204"/>
              </a:defRPr>
            </a:pPr>
          </a:p>
        </c:txPr>
        <c:crossAx val="3"/>
        <c:crosses val="autoZero"/>
        <c:auto val="0"/>
        <c:lblAlgn val="ctr"/>
        <c:lblOffset val="100"/>
        <c:baseTimeUnit val="days"/>
      </c:dateAx>
      <c:valAx>
        <c:axId val="3"/>
        <c:scaling>
          <c:orientation val="minMax"/>
        </c:scaling>
        <c:delete val="0"/>
        <c:axPos val="r"/>
        <c:majorGridlines>
          <c:spPr>
            <a:ln w="6350" cap="flat" cmpd="sng" algn="ctr">
              <a:solidFill>
                <a:srgbClr val="D9D9D9"/>
              </a:solidFill>
              <a:prstDash val="solid"/>
              <a:round/>
            </a:ln>
          </c:spPr>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panose="020B0602030504020204"/>
              </a:defRPr>
            </a:pPr>
          </a:p>
        </c:txPr>
        <c:crossAx val="2"/>
        <c:crosses val="max"/>
        <c:crossBetween val="between"/>
      </c:valAx>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panose="020B0602030504020204"/>
            </a:defRPr>
          </a:pPr>
        </a:p>
      </c:txPr>
    </c:legend>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panose="020B0602030504020204"/>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9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3434A1-8F96-454B-B55B-16BA1F7DEC85}">
  <ds:schemaRefs/>
</ds:datastoreItem>
</file>

<file path=docProps/app.xml><?xml version="1.0" encoding="utf-8"?>
<Properties xmlns="http://schemas.openxmlformats.org/officeDocument/2006/extended-properties" xmlns:vt="http://schemas.openxmlformats.org/officeDocument/2006/docPropsVTypes">
  <Template>Normal.eit</Template>
  <Pages>8</Pages>
  <Words>2901</Words>
  <Characters>3509</Characters>
  <Lines>198</Lines>
  <Paragraphs>97</Paragraphs>
  <TotalTime>7</TotalTime>
  <ScaleCrop>false</ScaleCrop>
  <LinksUpToDate>false</LinksUpToDate>
  <CharactersWithSpaces>3990</CharactersWithSpaces>
  <Application>WPS Office_12.1.0.17147_F1E327BC-269C-435d-A152-05C5408002CA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2020-06-18T03:01:00Z</dcterms:created>
  <dc:creator>jhuser</dc:creator>
  <cp:lastModifiedBy>Administrator</cp:lastModifiedBy>
  <cp:lastPrinted>2020-03-06T06:26:00Z</cp:lastPrinted>
  <dcterms:modified xsi:type="dcterms:W3CDTF">2024-07-25T07:37:41Z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B4A8D4CCF43D4F3FB1C4425C5914BE57_13</vt:lpwstr>
  </property>
</Properties>
</file>