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9"/>
        <w:ind w:firstLineChars="0" w:firstLine="0"/>
        <w:rPr>
          <w:sz w:val="40"/>
          <w:szCs w:val="28"/>
        </w:rPr>
      </w:pPr>
      <w:bookmarkStart w:id="0" w:name="_GoBack"/>
      <w:bookmarkEnd w:id="0"/>
      <w:r>
        <w:rPr>
          <w:rFonts w:hint="eastAsia"/>
          <w:sz w:val="40"/>
          <w:szCs w:val="28"/>
        </w:rPr>
        <w:t>2</w:t>
      </w:r>
      <w:r>
        <w:rPr>
          <w:sz w:val="40"/>
          <w:szCs w:val="28"/>
        </w:rPr>
        <w:t>0</w:t>
      </w:r>
      <w:r>
        <w:rPr>
          <w:rFonts w:hint="eastAsia"/>
          <w:sz w:val="40"/>
          <w:szCs w:val="28"/>
          <w:lang w:val="en-US" w:eastAsia="zh-CN"/>
        </w:rPr>
        <w:t>22</w:t>
      </w:r>
      <w:r>
        <w:rPr>
          <w:rFonts w:hint="eastAsia"/>
          <w:sz w:val="40"/>
          <w:szCs w:val="28"/>
        </w:rPr>
        <w:t>年朝阳区国民经济和社会发展统计公报</w:t>
      </w:r>
    </w:p>
    <w:p/>
    <w:p>
      <w:pPr>
        <w:rPr>
          <w:rFonts w:ascii="仿宋" w:eastAsia="仿宋" w:cs="仿宋" w:hint="eastAsia"/>
        </w:rPr>
      </w:pPr>
      <w:r>
        <w:rPr>
          <w:rFonts w:ascii="仿宋" w:eastAsia="仿宋" w:cs="仿宋" w:hint="eastAsia"/>
          <w:sz w:val="32"/>
          <w:szCs w:val="32"/>
          <w:lang w:val="en-US" w:eastAsia="zh-CN"/>
        </w:rPr>
        <w:t>2022年朝阳区统计分局围绕国家、省、市全年统计中心工作，</w:t>
      </w:r>
      <w:r>
        <w:rPr>
          <w:rFonts w:ascii="仿宋" w:eastAsia="仿宋" w:cs="仿宋" w:hint="eastAsia"/>
          <w:b w:val="0"/>
          <w:bCs w:val="0"/>
          <w:kern w:val="2"/>
          <w:sz w:val="32"/>
          <w:szCs w:val="22"/>
          <w:lang w:val="en-US" w:eastAsia="zh-CN" w:bidi="ar-SA"/>
        </w:rPr>
        <w:t>在区委、区政府的高位统筹、集中指挥下，狠抓落实，</w:t>
      </w:r>
      <w:r>
        <w:rPr>
          <w:rFonts w:ascii="仿宋" w:eastAsia="仿宋" w:cs="仿宋" w:hint="eastAsia"/>
          <w:sz w:val="32"/>
          <w:szCs w:val="32"/>
          <w:lang w:val="en-US" w:eastAsia="zh-CN"/>
        </w:rPr>
        <w:t>以数据质量为中心，深化“大统计、开发统计”工作思路，不断开创各项工作新局面。</w:t>
      </w:r>
    </w:p>
    <w:p>
      <w:pPr>
        <w:pStyle w:val="1"/>
      </w:pPr>
      <w:r>
        <w:rPr>
          <w:rFonts w:hint="eastAsia"/>
        </w:rPr>
        <w:t>一、综合</w:t>
      </w:r>
    </w:p>
    <w:p>
      <w:pPr>
        <w:rPr>
          <w:rFonts w:ascii="仿宋" w:eastAsia="仿宋" w:cs="仿宋" w:hint="eastAsia"/>
        </w:rPr>
      </w:pPr>
      <w:r>
        <w:rPr>
          <w:rFonts w:ascii="仿宋" w:eastAsia="仿宋" w:cs="仿宋" w:hint="eastAsia"/>
          <w:b w:val="0"/>
          <w:bCs w:val="0"/>
          <w:kern w:val="2"/>
          <w:sz w:val="32"/>
          <w:szCs w:val="22"/>
          <w:lang w:val="en-US" w:eastAsia="zh-CN" w:bidi="ar-SA"/>
        </w:rPr>
        <w:t>在疫情高压下，</w:t>
      </w:r>
      <w:r>
        <w:rPr>
          <w:rFonts w:ascii="仿宋" w:eastAsia="仿宋" w:cs="仿宋" w:hint="eastAsia"/>
          <w:sz w:val="32"/>
          <w:szCs w:val="32"/>
          <w:lang w:val="en-US" w:eastAsia="zh-CN"/>
        </w:rPr>
        <w:t>朝阳区统计分局围绕“上半年降幅收窄、三季度企稳止跌、四季度由负转正”的工作目标，</w:t>
      </w:r>
      <w:r>
        <w:rPr>
          <w:rFonts w:ascii="仿宋" w:eastAsia="仿宋" w:cs="仿宋" w:hint="eastAsia"/>
          <w:b w:val="0"/>
          <w:bCs w:val="0"/>
          <w:kern w:val="2"/>
          <w:sz w:val="32"/>
          <w:szCs w:val="22"/>
          <w:lang w:val="en-US" w:eastAsia="zh-CN" w:bidi="ar-SA"/>
        </w:rPr>
        <w:t>全区经济快速恢复，圆满完成“止跌、回升”的既定目标。</w:t>
      </w:r>
      <w:r>
        <w:rPr>
          <w:rFonts w:ascii="仿宋" w:eastAsia="仿宋" w:cs="仿宋" w:hint="eastAsia"/>
        </w:rPr>
        <w:t>经初步核算，20</w:t>
      </w:r>
      <w:r>
        <w:rPr>
          <w:rFonts w:ascii="仿宋" w:eastAsia="仿宋" w:cs="仿宋" w:hint="eastAsia"/>
          <w:lang w:val="en-US" w:eastAsia="zh-CN"/>
        </w:rPr>
        <w:t>22</w:t>
      </w:r>
      <w:r>
        <w:rPr>
          <w:rFonts w:ascii="仿宋" w:eastAsia="仿宋" w:cs="仿宋" w:hint="eastAsia"/>
        </w:rPr>
        <w:t>年</w:t>
      </w:r>
      <w:r>
        <w:rPr>
          <w:rFonts w:ascii="仿宋" w:eastAsia="仿宋" w:cs="仿宋" w:hint="eastAsia"/>
          <w:lang w:eastAsia="zh-CN"/>
        </w:rPr>
        <w:t>，</w:t>
      </w:r>
      <w:r>
        <w:rPr>
          <w:rFonts w:ascii="仿宋" w:eastAsia="仿宋" w:cs="仿宋" w:hint="eastAsia"/>
        </w:rPr>
        <w:t>全区生产总值</w:t>
      </w:r>
      <w:r>
        <w:rPr>
          <w:rFonts w:ascii="仿宋" w:eastAsia="仿宋" w:cs="仿宋" w:hint="eastAsia"/>
          <w:lang w:val="en-US" w:eastAsia="zh-CN"/>
        </w:rPr>
        <w:t>782.9</w:t>
      </w:r>
      <w:r>
        <w:rPr>
          <w:rFonts w:ascii="仿宋" w:eastAsia="仿宋" w:cs="仿宋" w:hint="eastAsia"/>
        </w:rPr>
        <w:t>亿元，按不变价计算，同比</w:t>
      </w:r>
      <w:r>
        <w:rPr>
          <w:rFonts w:ascii="仿宋" w:eastAsia="仿宋" w:cs="仿宋" w:hint="eastAsia"/>
          <w:lang w:eastAsia="zh-CN"/>
        </w:rPr>
        <w:t>下降</w:t>
      </w:r>
      <w:r>
        <w:rPr>
          <w:rFonts w:ascii="仿宋" w:eastAsia="仿宋" w:cs="仿宋" w:hint="eastAsia"/>
          <w:lang w:val="en-US" w:eastAsia="zh-CN"/>
        </w:rPr>
        <w:t>1.6</w:t>
      </w:r>
      <w:r>
        <w:rPr>
          <w:rFonts w:ascii="仿宋" w:eastAsia="仿宋" w:cs="仿宋" w:hint="eastAsia"/>
        </w:rPr>
        <w:t>%</w:t>
      </w:r>
      <w:r>
        <w:rPr>
          <w:rFonts w:ascii="仿宋" w:eastAsia="仿宋" w:cs="仿宋" w:hint="eastAsia"/>
          <w:lang w:eastAsia="zh-CN"/>
        </w:rPr>
        <w:t>。</w:t>
      </w:r>
      <w:r>
        <w:rPr>
          <w:rFonts w:ascii="仿宋" w:eastAsia="仿宋" w:cs="仿宋" w:hint="eastAsia"/>
        </w:rPr>
        <w:t>其中，第一产业增加值实现</w:t>
      </w:r>
      <w:r>
        <w:rPr>
          <w:rFonts w:ascii="仿宋" w:eastAsia="仿宋" w:cs="仿宋" w:hint="eastAsia"/>
          <w:lang w:val="en-US" w:eastAsia="zh-CN"/>
        </w:rPr>
        <w:t>1.3</w:t>
      </w:r>
      <w:r>
        <w:rPr>
          <w:rFonts w:ascii="仿宋" w:eastAsia="仿宋" w:cs="仿宋" w:hint="eastAsia"/>
        </w:rPr>
        <w:t>亿元，同比增</w:t>
      </w:r>
      <w:r>
        <w:rPr>
          <w:rFonts w:ascii="仿宋" w:eastAsia="仿宋" w:cs="仿宋" w:hint="eastAsia"/>
          <w:lang w:eastAsia="zh-CN"/>
        </w:rPr>
        <w:t>长</w:t>
      </w:r>
      <w:r>
        <w:rPr>
          <w:rFonts w:ascii="仿宋" w:eastAsia="仿宋" w:cs="仿宋" w:hint="eastAsia"/>
          <w:lang w:val="en-US" w:eastAsia="zh-CN"/>
        </w:rPr>
        <w:t>0.1</w:t>
      </w:r>
      <w:r>
        <w:rPr>
          <w:rFonts w:ascii="仿宋" w:eastAsia="仿宋" w:cs="仿宋" w:hint="eastAsia"/>
        </w:rPr>
        <w:t>%；第二产业增加值实现</w:t>
      </w:r>
      <w:r>
        <w:rPr>
          <w:rFonts w:ascii="仿宋" w:eastAsia="仿宋" w:cs="仿宋" w:hint="eastAsia"/>
          <w:lang w:val="en-US" w:eastAsia="zh-CN"/>
        </w:rPr>
        <w:t>230.8</w:t>
      </w:r>
      <w:r>
        <w:rPr>
          <w:rFonts w:ascii="仿宋" w:eastAsia="仿宋" w:cs="仿宋" w:hint="eastAsia"/>
        </w:rPr>
        <w:t>亿元，同比增长</w:t>
      </w:r>
      <w:r>
        <w:rPr>
          <w:rFonts w:ascii="仿宋" w:eastAsia="仿宋" w:cs="仿宋" w:hint="eastAsia"/>
          <w:lang w:val="en-US" w:eastAsia="zh-CN"/>
        </w:rPr>
        <w:t>1.0</w:t>
      </w:r>
      <w:r>
        <w:rPr>
          <w:rFonts w:ascii="仿宋" w:eastAsia="仿宋" w:cs="仿宋" w:hint="eastAsia"/>
        </w:rPr>
        <w:t>%；第三产业增加值实现5</w:t>
      </w:r>
      <w:r>
        <w:rPr>
          <w:rFonts w:ascii="仿宋" w:eastAsia="仿宋" w:cs="仿宋" w:hint="eastAsia"/>
          <w:lang w:val="en-US" w:eastAsia="zh-CN"/>
        </w:rPr>
        <w:t>50.8</w:t>
      </w:r>
      <w:r>
        <w:rPr>
          <w:rFonts w:ascii="仿宋" w:eastAsia="仿宋" w:cs="仿宋" w:hint="eastAsia"/>
        </w:rPr>
        <w:t>亿元，同比</w:t>
      </w:r>
      <w:r>
        <w:rPr>
          <w:rFonts w:ascii="仿宋" w:eastAsia="仿宋" w:cs="仿宋" w:hint="eastAsia"/>
          <w:lang w:eastAsia="zh-CN"/>
        </w:rPr>
        <w:t>下降</w:t>
      </w:r>
      <w:r>
        <w:rPr>
          <w:rFonts w:ascii="仿宋" w:eastAsia="仿宋" w:cs="仿宋" w:hint="eastAsia"/>
          <w:lang w:val="en-US" w:eastAsia="zh-CN"/>
        </w:rPr>
        <w:t>2.5</w:t>
      </w:r>
      <w:r>
        <w:rPr>
          <w:rFonts w:ascii="仿宋" w:eastAsia="仿宋" w:cs="仿宋" w:hint="eastAsia"/>
        </w:rPr>
        <w:t>%。</w:t>
      </w:r>
    </w:p>
    <w:p>
      <w:r>
        <w:drawing>
          <wp:inline distT="0" distB="0" distL="0" distR="0">
            <wp:extent cx="5274310" cy="2293620"/>
            <wp:effectExtent l="0" t="0" r="0" b="0"/>
            <wp:docPr id="1" name="图表 6"/>
            <wp:cNvGraphicFramePr>
              <a:graphicFrameLocks noChangeAspect="0"/>
            </wp:cNvGraphicFramePr>
            <a:graphic>
              <a:graphicData uri="http://schemas.openxmlformats.org/drawingml/2006/chart">
                <c:chart xmlns:c="http://schemas.openxmlformats.org/drawingml/2006/chart" r:id="rId3"/>
              </a:graphicData>
            </a:graphic>
          </wp:inline>
        </w:drawing>
      </w:r>
    </w:p>
    <w:p>
      <w:pPr>
        <w:rPr>
          <w:rFonts w:ascii="仿宋" w:eastAsia="仿宋" w:cs="仿宋" w:hint="eastAsia"/>
          <w:lang w:val="en-US" w:eastAsia="zh-CN"/>
        </w:rPr>
      </w:pPr>
      <w:r>
        <w:rPr>
          <w:rFonts w:ascii="仿宋" w:eastAsia="仿宋" w:cs="仿宋" w:hint="eastAsia"/>
        </w:rPr>
        <w:t>产业结构得到进一步优化，三</w:t>
      </w:r>
      <w:r>
        <w:rPr>
          <w:rFonts w:ascii="仿宋" w:eastAsia="仿宋" w:cs="仿宋" w:hint="eastAsia"/>
          <w:lang w:eastAsia="zh-CN"/>
        </w:rPr>
        <w:t>大</w:t>
      </w:r>
      <w:r>
        <w:rPr>
          <w:rFonts w:ascii="仿宋" w:eastAsia="仿宋" w:cs="仿宋" w:hint="eastAsia"/>
        </w:rPr>
        <w:t>产业比重分别为：0.1:2</w:t>
      </w:r>
      <w:r>
        <w:rPr>
          <w:rFonts w:ascii="仿宋" w:eastAsia="仿宋" w:cs="仿宋" w:hint="eastAsia"/>
          <w:lang w:val="en-US" w:eastAsia="zh-CN"/>
        </w:rPr>
        <w:t>9.5</w:t>
      </w:r>
      <w:r>
        <w:rPr>
          <w:rFonts w:ascii="仿宋" w:eastAsia="仿宋" w:cs="仿宋" w:hint="eastAsia"/>
        </w:rPr>
        <w:t>:70.</w:t>
      </w:r>
      <w:r>
        <w:rPr>
          <w:rFonts w:ascii="仿宋" w:eastAsia="仿宋" w:cs="仿宋" w:hint="eastAsia"/>
          <w:lang w:val="en-US" w:eastAsia="zh-CN"/>
        </w:rPr>
        <w:t>4。</w:t>
      </w:r>
    </w:p>
    <w:p>
      <w:pPr>
        <w:pStyle w:val="1"/>
      </w:pPr>
      <w:r>
        <w:rPr>
          <w:rFonts w:hint="eastAsia"/>
        </w:rPr>
        <w:t>二、农业</w:t>
      </w:r>
    </w:p>
    <w:p>
      <w:pPr>
        <w:rPr>
          <w:rFonts w:ascii="仿宋" w:eastAsia="仿宋" w:cs="仿宋" w:hint="eastAsia"/>
        </w:rPr>
      </w:pPr>
      <w:r>
        <w:rPr>
          <w:rFonts w:ascii="仿宋" w:eastAsia="仿宋" w:cs="仿宋" w:hint="eastAsia"/>
          <w:lang w:val="en-US" w:eastAsia="zh-CN"/>
        </w:rPr>
        <w:t>2022</w:t>
      </w:r>
      <w:r>
        <w:rPr>
          <w:rFonts w:ascii="仿宋" w:eastAsia="仿宋" w:cs="仿宋" w:hint="eastAsia"/>
        </w:rPr>
        <w:t>年全区农作物播种面积</w:t>
      </w:r>
      <w:r>
        <w:rPr>
          <w:rFonts w:ascii="仿宋" w:eastAsia="仿宋" w:cs="仿宋" w:hint="eastAsia"/>
          <w:lang w:val="en-US" w:eastAsia="zh-CN"/>
        </w:rPr>
        <w:t>10384.6</w:t>
      </w:r>
      <w:r>
        <w:rPr>
          <w:rFonts w:ascii="仿宋" w:eastAsia="仿宋" w:cs="仿宋" w:hint="eastAsia"/>
        </w:rPr>
        <w:t>公顷，其中粮食作物播种面积</w:t>
      </w:r>
      <w:r>
        <w:rPr>
          <w:rFonts w:ascii="仿宋" w:eastAsia="仿宋" w:cs="仿宋" w:hint="eastAsia"/>
          <w:lang w:val="en-US" w:eastAsia="zh-CN"/>
        </w:rPr>
        <w:t>9835</w:t>
      </w:r>
      <w:r>
        <w:rPr>
          <w:rFonts w:ascii="仿宋" w:eastAsia="仿宋" w:cs="仿宋" w:hint="eastAsia"/>
        </w:rPr>
        <w:t>公顷，经济作物播种面积</w:t>
      </w:r>
      <w:r>
        <w:rPr>
          <w:rFonts w:ascii="仿宋" w:eastAsia="仿宋" w:cs="仿宋" w:hint="eastAsia"/>
          <w:lang w:val="en-US" w:eastAsia="zh-CN"/>
        </w:rPr>
        <w:t>549.6</w:t>
      </w:r>
      <w:r>
        <w:rPr>
          <w:rFonts w:ascii="仿宋" w:eastAsia="仿宋" w:cs="仿宋" w:hint="eastAsia"/>
        </w:rPr>
        <w:t>公顷，分</w:t>
      </w:r>
      <w:r>
        <w:rPr>
          <w:rFonts w:ascii="仿宋" w:eastAsia="仿宋" w:cs="仿宋" w:hint="eastAsia"/>
          <w:lang w:eastAsia="zh-CN"/>
        </w:rPr>
        <w:t>别</w:t>
      </w:r>
      <w:r>
        <w:rPr>
          <w:rFonts w:ascii="仿宋" w:eastAsia="仿宋" w:cs="仿宋" w:hint="eastAsia"/>
        </w:rPr>
        <w:t>占总播种面积的</w:t>
      </w:r>
      <w:r>
        <w:rPr>
          <w:rFonts w:ascii="仿宋" w:eastAsia="仿宋" w:cs="仿宋" w:hint="eastAsia"/>
          <w:lang w:val="en-US" w:eastAsia="zh-CN"/>
        </w:rPr>
        <w:t>94.7</w:t>
      </w:r>
      <w:r>
        <w:rPr>
          <w:rFonts w:ascii="仿宋" w:eastAsia="仿宋" w:cs="仿宋" w:hint="eastAsia"/>
        </w:rPr>
        <w:t>%和</w:t>
      </w:r>
      <w:r>
        <w:rPr>
          <w:rFonts w:ascii="仿宋" w:eastAsia="仿宋" w:cs="仿宋" w:hint="eastAsia"/>
          <w:lang w:val="en-US" w:eastAsia="zh-CN"/>
        </w:rPr>
        <w:t>5.3</w:t>
      </w:r>
      <w:r>
        <w:rPr>
          <w:rFonts w:ascii="仿宋" w:eastAsia="仿宋" w:cs="仿宋" w:hint="eastAsia"/>
        </w:rPr>
        <w:t>%。粮食作物总产量</w:t>
      </w:r>
      <w:r>
        <w:rPr>
          <w:rFonts w:ascii="仿宋" w:eastAsia="仿宋" w:cs="仿宋" w:hint="eastAsia"/>
          <w:lang w:val="en-US" w:eastAsia="zh-CN"/>
        </w:rPr>
        <w:t>65353.5</w:t>
      </w:r>
      <w:r>
        <w:rPr>
          <w:rFonts w:ascii="仿宋" w:eastAsia="仿宋" w:cs="仿宋" w:hint="eastAsia"/>
        </w:rPr>
        <w:t>吨，经济作物总产量</w:t>
      </w:r>
      <w:r>
        <w:rPr>
          <w:rFonts w:ascii="仿宋" w:eastAsia="仿宋" w:cs="仿宋" w:hint="eastAsia"/>
          <w:lang w:val="en-US" w:eastAsia="zh-CN"/>
        </w:rPr>
        <w:t>7006.1</w:t>
      </w:r>
      <w:r>
        <w:rPr>
          <w:rFonts w:ascii="仿宋" w:eastAsia="仿宋" w:cs="仿宋" w:hint="eastAsia"/>
        </w:rPr>
        <w:t>吨。</w:t>
      </w:r>
    </w:p>
    <w:p>
      <w:pPr>
        <w:rPr>
          <w:rFonts w:ascii="仿宋" w:eastAsia="仿宋" w:cs="仿宋" w:hint="eastAsia"/>
        </w:rPr>
      </w:pPr>
      <w:r>
        <w:rPr>
          <w:rFonts w:ascii="仿宋" w:eastAsia="仿宋" w:cs="仿宋" w:hint="eastAsia"/>
          <w:lang w:val="en-US" w:eastAsia="zh-CN"/>
        </w:rPr>
        <w:t>2022</w:t>
      </w:r>
      <w:r>
        <w:rPr>
          <w:rFonts w:ascii="仿宋" w:eastAsia="仿宋" w:cs="仿宋" w:hint="eastAsia"/>
        </w:rPr>
        <w:t>年末，猪存栏</w:t>
      </w:r>
      <w:r>
        <w:rPr>
          <w:rFonts w:ascii="仿宋" w:eastAsia="仿宋" w:cs="仿宋" w:hint="eastAsia"/>
          <w:lang w:val="en-US" w:eastAsia="zh-CN"/>
        </w:rPr>
        <w:t>4155</w:t>
      </w:r>
      <w:r>
        <w:rPr>
          <w:rFonts w:ascii="仿宋" w:eastAsia="仿宋" w:cs="仿宋" w:hint="eastAsia"/>
        </w:rPr>
        <w:t>头，</w:t>
      </w:r>
      <w:r>
        <w:rPr>
          <w:rFonts w:ascii="仿宋" w:eastAsia="仿宋" w:cs="仿宋" w:hint="eastAsia"/>
          <w:lang w:eastAsia="zh-CN"/>
        </w:rPr>
        <w:t>同比下降</w:t>
      </w:r>
      <w:r>
        <w:rPr>
          <w:rFonts w:ascii="仿宋" w:eastAsia="仿宋" w:cs="仿宋" w:hint="eastAsia"/>
          <w:lang w:val="en-US" w:eastAsia="zh-CN"/>
        </w:rPr>
        <w:t>7.5</w:t>
      </w:r>
      <w:r>
        <w:rPr>
          <w:rFonts w:ascii="仿宋" w:eastAsia="仿宋" w:cs="仿宋" w:hint="eastAsia"/>
        </w:rPr>
        <w:t>%，出栏</w:t>
      </w:r>
      <w:r>
        <w:rPr>
          <w:rFonts w:ascii="仿宋" w:eastAsia="仿宋" w:cs="仿宋" w:hint="eastAsia"/>
          <w:lang w:val="en-US" w:eastAsia="zh-CN"/>
        </w:rPr>
        <w:t>3815</w:t>
      </w:r>
      <w:r>
        <w:rPr>
          <w:rFonts w:ascii="仿宋" w:eastAsia="仿宋" w:cs="仿宋" w:hint="eastAsia"/>
        </w:rPr>
        <w:t>头，</w:t>
      </w:r>
      <w:r>
        <w:rPr>
          <w:rFonts w:ascii="仿宋" w:eastAsia="仿宋" w:cs="仿宋" w:hint="eastAsia"/>
          <w:lang w:eastAsia="zh-CN"/>
        </w:rPr>
        <w:t>同比增长</w:t>
      </w:r>
      <w:r>
        <w:rPr>
          <w:rFonts w:ascii="仿宋" w:eastAsia="仿宋" w:cs="仿宋" w:hint="eastAsia"/>
          <w:lang w:val="en-US" w:eastAsia="zh-CN"/>
        </w:rPr>
        <w:t>22.1</w:t>
      </w:r>
      <w:r>
        <w:rPr>
          <w:rFonts w:ascii="仿宋" w:eastAsia="仿宋" w:cs="仿宋" w:hint="eastAsia"/>
        </w:rPr>
        <w:t>%；牛存栏</w:t>
      </w:r>
      <w:r>
        <w:rPr>
          <w:rFonts w:ascii="仿宋" w:eastAsia="仿宋" w:cs="仿宋" w:hint="eastAsia"/>
          <w:lang w:val="en-US" w:eastAsia="zh-CN"/>
        </w:rPr>
        <w:t>1965</w:t>
      </w:r>
      <w:r>
        <w:rPr>
          <w:rFonts w:ascii="仿宋" w:eastAsia="仿宋" w:cs="仿宋" w:hint="eastAsia"/>
        </w:rPr>
        <w:t>头，</w:t>
      </w:r>
      <w:r>
        <w:rPr>
          <w:rFonts w:ascii="仿宋" w:eastAsia="仿宋" w:cs="仿宋" w:hint="eastAsia"/>
          <w:lang w:eastAsia="zh-CN"/>
        </w:rPr>
        <w:t>同比增长</w:t>
      </w:r>
      <w:r>
        <w:rPr>
          <w:rFonts w:ascii="仿宋" w:eastAsia="仿宋" w:cs="仿宋" w:hint="eastAsia"/>
          <w:lang w:val="en-US" w:eastAsia="zh-CN"/>
        </w:rPr>
        <w:t>4.7</w:t>
      </w:r>
      <w:r>
        <w:rPr>
          <w:rFonts w:ascii="仿宋" w:eastAsia="仿宋" w:cs="仿宋" w:hint="eastAsia"/>
        </w:rPr>
        <w:t>%，出栏</w:t>
      </w:r>
      <w:r>
        <w:rPr>
          <w:rFonts w:ascii="仿宋" w:eastAsia="仿宋" w:cs="仿宋" w:hint="eastAsia"/>
          <w:lang w:val="en-US" w:eastAsia="zh-CN"/>
        </w:rPr>
        <w:t>545</w:t>
      </w:r>
      <w:r>
        <w:rPr>
          <w:rFonts w:ascii="仿宋" w:eastAsia="仿宋" w:cs="仿宋" w:hint="eastAsia"/>
        </w:rPr>
        <w:t>头，</w:t>
      </w:r>
      <w:r>
        <w:rPr>
          <w:rFonts w:ascii="仿宋" w:eastAsia="仿宋" w:cs="仿宋" w:hint="eastAsia"/>
          <w:lang w:eastAsia="zh-CN"/>
        </w:rPr>
        <w:t>同比增长</w:t>
      </w:r>
      <w:r>
        <w:rPr>
          <w:rFonts w:ascii="仿宋" w:eastAsia="仿宋" w:cs="仿宋" w:hint="eastAsia"/>
          <w:lang w:val="en-US" w:eastAsia="zh-CN"/>
        </w:rPr>
        <w:t>268.2%</w:t>
      </w:r>
      <w:r>
        <w:rPr>
          <w:rFonts w:ascii="仿宋" w:eastAsia="仿宋" w:cs="仿宋" w:hint="eastAsia"/>
        </w:rPr>
        <w:t>；羊存栏</w:t>
      </w:r>
      <w:r>
        <w:rPr>
          <w:rFonts w:ascii="仿宋" w:eastAsia="仿宋" w:cs="仿宋" w:hint="eastAsia"/>
          <w:lang w:val="en-US" w:eastAsia="zh-CN"/>
        </w:rPr>
        <w:t>660</w:t>
      </w:r>
      <w:r>
        <w:rPr>
          <w:rFonts w:ascii="仿宋" w:eastAsia="仿宋" w:cs="仿宋" w:hint="eastAsia"/>
        </w:rPr>
        <w:t>只，</w:t>
      </w:r>
      <w:r>
        <w:rPr>
          <w:rFonts w:ascii="仿宋" w:eastAsia="仿宋" w:cs="仿宋" w:hint="eastAsia"/>
          <w:lang w:eastAsia="zh-CN"/>
        </w:rPr>
        <w:t>同比增长</w:t>
      </w:r>
      <w:r>
        <w:rPr>
          <w:rFonts w:ascii="仿宋" w:eastAsia="仿宋" w:cs="仿宋" w:hint="eastAsia"/>
          <w:lang w:val="en-US" w:eastAsia="zh-CN"/>
        </w:rPr>
        <w:t>15.2</w:t>
      </w:r>
      <w:r>
        <w:rPr>
          <w:rFonts w:ascii="仿宋" w:eastAsia="仿宋" w:cs="仿宋" w:hint="eastAsia"/>
        </w:rPr>
        <w:t>%，出栏</w:t>
      </w:r>
      <w:r>
        <w:rPr>
          <w:rFonts w:ascii="仿宋" w:eastAsia="仿宋" w:cs="仿宋" w:hint="eastAsia"/>
          <w:lang w:val="en-US" w:eastAsia="zh-CN"/>
        </w:rPr>
        <w:t>549</w:t>
      </w:r>
      <w:r>
        <w:rPr>
          <w:rFonts w:ascii="仿宋" w:eastAsia="仿宋" w:cs="仿宋" w:hint="eastAsia"/>
        </w:rPr>
        <w:t>只，</w:t>
      </w:r>
      <w:r>
        <w:rPr>
          <w:rFonts w:ascii="仿宋" w:eastAsia="仿宋" w:cs="仿宋" w:hint="eastAsia"/>
          <w:lang w:eastAsia="zh-CN"/>
        </w:rPr>
        <w:t>同比增长</w:t>
      </w:r>
      <w:r>
        <w:rPr>
          <w:rFonts w:ascii="仿宋" w:eastAsia="仿宋" w:cs="仿宋" w:hint="eastAsia"/>
          <w:lang w:val="en-US" w:eastAsia="zh-CN"/>
        </w:rPr>
        <w:t>67.4</w:t>
      </w:r>
      <w:r>
        <w:rPr>
          <w:rFonts w:ascii="仿宋" w:eastAsia="仿宋" w:cs="仿宋" w:hint="eastAsia"/>
        </w:rPr>
        <w:t>%；家禽存栏</w:t>
      </w:r>
      <w:r>
        <w:rPr>
          <w:rFonts w:ascii="仿宋" w:eastAsia="仿宋" w:cs="仿宋" w:hint="eastAsia"/>
          <w:lang w:val="en-US" w:eastAsia="zh-CN"/>
        </w:rPr>
        <w:t>30.9</w:t>
      </w:r>
      <w:r>
        <w:rPr>
          <w:rFonts w:ascii="仿宋" w:eastAsia="仿宋" w:cs="仿宋" w:hint="eastAsia"/>
        </w:rPr>
        <w:t>千只，</w:t>
      </w:r>
      <w:r>
        <w:rPr>
          <w:rFonts w:ascii="仿宋" w:eastAsia="仿宋" w:cs="仿宋" w:hint="eastAsia"/>
          <w:lang w:eastAsia="zh-CN"/>
        </w:rPr>
        <w:t>同比下降</w:t>
      </w:r>
      <w:r>
        <w:rPr>
          <w:rFonts w:ascii="仿宋" w:eastAsia="仿宋" w:cs="仿宋" w:hint="eastAsia"/>
          <w:lang w:val="en-US" w:eastAsia="zh-CN"/>
        </w:rPr>
        <w:t>17.3</w:t>
      </w:r>
      <w:r>
        <w:rPr>
          <w:rFonts w:ascii="仿宋" w:eastAsia="仿宋" w:cs="仿宋" w:hint="eastAsia"/>
        </w:rPr>
        <w:t>%，出栏</w:t>
      </w:r>
      <w:r>
        <w:rPr>
          <w:rFonts w:ascii="仿宋" w:eastAsia="仿宋" w:cs="仿宋" w:hint="eastAsia"/>
          <w:lang w:val="en-US" w:eastAsia="zh-CN"/>
        </w:rPr>
        <w:t>24.8</w:t>
      </w:r>
      <w:r>
        <w:rPr>
          <w:rFonts w:ascii="仿宋" w:eastAsia="仿宋" w:cs="仿宋" w:hint="eastAsia"/>
        </w:rPr>
        <w:t>千只，</w:t>
      </w:r>
      <w:r>
        <w:rPr>
          <w:rFonts w:ascii="仿宋" w:eastAsia="仿宋" w:cs="仿宋" w:hint="eastAsia"/>
          <w:lang w:eastAsia="zh-CN"/>
        </w:rPr>
        <w:t>同比</w:t>
      </w:r>
      <w:r>
        <w:rPr>
          <w:rFonts w:ascii="仿宋" w:eastAsia="仿宋" w:cs="仿宋" w:hint="eastAsia"/>
        </w:rPr>
        <w:t>下降</w:t>
      </w:r>
      <w:r>
        <w:rPr>
          <w:rFonts w:ascii="仿宋" w:eastAsia="仿宋" w:cs="仿宋" w:hint="eastAsia"/>
          <w:lang w:val="en-US" w:eastAsia="zh-CN"/>
        </w:rPr>
        <w:t>27.3</w:t>
      </w:r>
      <w:r>
        <w:rPr>
          <w:rFonts w:ascii="仿宋" w:eastAsia="仿宋" w:cs="仿宋" w:hint="eastAsia"/>
        </w:rPr>
        <w:t>%。</w:t>
      </w:r>
    </w:p>
    <w:p>
      <w:pPr>
        <w:rPr>
          <w:rFonts w:ascii="仿宋" w:eastAsia="仿宋" w:cs="仿宋" w:hint="eastAsia"/>
        </w:rPr>
      </w:pPr>
      <w:r>
        <w:rPr>
          <w:rFonts w:ascii="仿宋" w:eastAsia="仿宋" w:cs="仿宋" w:hint="eastAsia"/>
        </w:rPr>
        <w:t>肉类总产量</w:t>
      </w:r>
      <w:r>
        <w:rPr>
          <w:rFonts w:ascii="仿宋" w:eastAsia="仿宋" w:cs="仿宋" w:hint="eastAsia"/>
          <w:lang w:val="en-US" w:eastAsia="zh-CN"/>
        </w:rPr>
        <w:t>541.7</w:t>
      </w:r>
      <w:r>
        <w:rPr>
          <w:rFonts w:ascii="仿宋" w:eastAsia="仿宋" w:cs="仿宋" w:hint="eastAsia"/>
        </w:rPr>
        <w:t>吨，</w:t>
      </w:r>
      <w:r>
        <w:rPr>
          <w:rFonts w:ascii="仿宋" w:eastAsia="仿宋" w:cs="仿宋" w:hint="eastAsia"/>
          <w:lang w:eastAsia="zh-CN"/>
        </w:rPr>
        <w:t>同比增长</w:t>
      </w:r>
      <w:r>
        <w:rPr>
          <w:rFonts w:ascii="仿宋" w:eastAsia="仿宋" w:cs="仿宋" w:hint="eastAsia"/>
          <w:lang w:val="en-US" w:eastAsia="zh-CN"/>
        </w:rPr>
        <w:t>26.3</w:t>
      </w:r>
      <w:r>
        <w:rPr>
          <w:rFonts w:ascii="仿宋" w:eastAsia="仿宋" w:cs="仿宋" w:hint="eastAsia"/>
        </w:rPr>
        <w:t>%。其中，猪肉产量</w:t>
      </w:r>
      <w:r>
        <w:rPr>
          <w:rFonts w:ascii="仿宋" w:eastAsia="仿宋" w:cs="仿宋" w:hint="eastAsia"/>
          <w:lang w:val="en-US" w:eastAsia="zh-CN"/>
        </w:rPr>
        <w:t>396.3</w:t>
      </w:r>
      <w:r>
        <w:rPr>
          <w:rFonts w:ascii="仿宋" w:eastAsia="仿宋" w:cs="仿宋" w:hint="eastAsia"/>
        </w:rPr>
        <w:t>吨，</w:t>
      </w:r>
      <w:r>
        <w:rPr>
          <w:rFonts w:ascii="仿宋" w:eastAsia="仿宋" w:cs="仿宋" w:hint="eastAsia"/>
          <w:lang w:eastAsia="zh-CN"/>
        </w:rPr>
        <w:t>同比增长</w:t>
      </w:r>
      <w:r>
        <w:rPr>
          <w:rFonts w:ascii="仿宋" w:eastAsia="仿宋" w:cs="仿宋" w:hint="eastAsia"/>
          <w:lang w:val="en-US" w:eastAsia="zh-CN"/>
        </w:rPr>
        <w:t>22.9</w:t>
      </w:r>
      <w:r>
        <w:rPr>
          <w:rFonts w:ascii="仿宋" w:eastAsia="仿宋" w:cs="仿宋" w:hint="eastAsia"/>
        </w:rPr>
        <w:t>%；牛肉产量</w:t>
      </w:r>
      <w:r>
        <w:rPr>
          <w:rFonts w:ascii="仿宋" w:eastAsia="仿宋" w:cs="仿宋" w:hint="eastAsia"/>
          <w:lang w:val="en-US" w:eastAsia="zh-CN"/>
        </w:rPr>
        <w:t>82.4</w:t>
      </w:r>
      <w:r>
        <w:rPr>
          <w:rFonts w:ascii="仿宋" w:eastAsia="仿宋" w:cs="仿宋" w:hint="eastAsia"/>
        </w:rPr>
        <w:t>吨，</w:t>
      </w:r>
      <w:r>
        <w:rPr>
          <w:rFonts w:ascii="仿宋" w:eastAsia="仿宋" w:cs="仿宋" w:hint="eastAsia"/>
          <w:lang w:eastAsia="zh-CN"/>
        </w:rPr>
        <w:t>同比增长</w:t>
      </w:r>
      <w:r>
        <w:rPr>
          <w:rFonts w:ascii="仿宋" w:eastAsia="仿宋" w:cs="仿宋" w:hint="eastAsia"/>
          <w:lang w:val="en-US" w:eastAsia="zh-CN"/>
        </w:rPr>
        <w:t>146.4</w:t>
      </w:r>
      <w:r>
        <w:rPr>
          <w:rFonts w:ascii="仿宋" w:eastAsia="仿宋" w:cs="仿宋" w:hint="eastAsia"/>
        </w:rPr>
        <w:t>%；羊肉产量</w:t>
      </w:r>
      <w:r>
        <w:rPr>
          <w:rFonts w:ascii="仿宋" w:eastAsia="仿宋" w:cs="仿宋" w:hint="eastAsia"/>
          <w:lang w:val="en-US" w:eastAsia="zh-CN"/>
        </w:rPr>
        <w:t>14.4</w:t>
      </w:r>
      <w:r>
        <w:rPr>
          <w:rFonts w:ascii="仿宋" w:eastAsia="仿宋" w:cs="仿宋" w:hint="eastAsia"/>
        </w:rPr>
        <w:t>吨，</w:t>
      </w:r>
      <w:r>
        <w:rPr>
          <w:rFonts w:ascii="仿宋" w:eastAsia="仿宋" w:cs="仿宋" w:hint="eastAsia"/>
          <w:lang w:eastAsia="zh-CN"/>
        </w:rPr>
        <w:t>同比增长</w:t>
      </w:r>
      <w:r>
        <w:rPr>
          <w:rFonts w:ascii="仿宋" w:eastAsia="仿宋" w:cs="仿宋" w:hint="eastAsia"/>
          <w:lang w:val="en-US" w:eastAsia="zh-CN"/>
        </w:rPr>
        <w:t>104</w:t>
      </w:r>
      <w:r>
        <w:rPr>
          <w:rFonts w:ascii="仿宋" w:eastAsia="仿宋" w:cs="仿宋" w:hint="eastAsia"/>
        </w:rPr>
        <w:t>%；禽肉产量</w:t>
      </w:r>
      <w:r>
        <w:rPr>
          <w:rFonts w:ascii="仿宋" w:eastAsia="仿宋" w:cs="仿宋" w:hint="eastAsia"/>
          <w:lang w:val="en-US" w:eastAsia="zh-CN"/>
        </w:rPr>
        <w:t>48.6</w:t>
      </w:r>
      <w:r>
        <w:rPr>
          <w:rFonts w:ascii="仿宋" w:eastAsia="仿宋" w:cs="仿宋" w:hint="eastAsia"/>
        </w:rPr>
        <w:t>吨，</w:t>
      </w:r>
      <w:r>
        <w:rPr>
          <w:rFonts w:ascii="仿宋" w:eastAsia="仿宋" w:cs="仿宋" w:hint="eastAsia"/>
          <w:lang w:eastAsia="zh-CN"/>
        </w:rPr>
        <w:t>同比</w:t>
      </w:r>
      <w:r>
        <w:rPr>
          <w:rFonts w:ascii="仿宋" w:eastAsia="仿宋" w:cs="仿宋" w:hint="eastAsia"/>
        </w:rPr>
        <w:t>下降</w:t>
      </w:r>
      <w:r>
        <w:rPr>
          <w:rFonts w:ascii="仿宋" w:eastAsia="仿宋" w:cs="仿宋" w:hint="eastAsia"/>
          <w:lang w:val="en-US" w:eastAsia="zh-CN"/>
        </w:rPr>
        <w:t>26.2</w:t>
      </w:r>
      <w:r>
        <w:rPr>
          <w:rFonts w:ascii="仿宋" w:eastAsia="仿宋" w:cs="仿宋" w:hint="eastAsia"/>
        </w:rPr>
        <w:t>%。</w:t>
      </w:r>
    </w:p>
    <w:p>
      <w:pPr>
        <w:pStyle w:val="1"/>
      </w:pPr>
      <w:r>
        <w:rPr>
          <w:rFonts w:hint="eastAsia"/>
        </w:rPr>
        <w:t>三、工业</w:t>
      </w:r>
    </w:p>
    <w:p>
      <w:pPr>
        <w:rPr>
          <w:rFonts w:ascii="仿宋" w:eastAsia="仿宋" w:cs="仿宋" w:hint="eastAsia"/>
          <w:lang w:val="en-US" w:eastAsia="zh-CN"/>
        </w:rPr>
      </w:pPr>
      <w:r>
        <w:rPr>
          <w:rFonts w:ascii="仿宋" w:eastAsia="仿宋" w:cs="仿宋" w:hint="eastAsia"/>
          <w:lang w:val="en-US" w:eastAsia="zh-CN"/>
        </w:rPr>
        <w:t>2022年是党的二十大胜利召开之年，也是新冠病毒疫情肆虐的一年，在朝阳区委、区政府的坚强领导下，坚持稳中求进的总基调，完整、准确、全面贯彻新发展理念，主动服务和融入新发展格局，坚决落实疫情要防住，经济要稳住的要求，高效统筹疫情防控和工业经济发展，全区工业经济运行保持在合理区间。</w:t>
      </w:r>
    </w:p>
    <w:p>
      <w:pPr>
        <w:rPr>
          <w:rFonts w:ascii="仿宋" w:eastAsia="仿宋" w:cs="仿宋" w:hint="eastAsia"/>
          <w:lang w:val="en-US" w:eastAsia="zh-CN"/>
        </w:rPr>
      </w:pPr>
      <w:r>
        <w:rPr>
          <w:rFonts w:ascii="仿宋" w:eastAsia="仿宋" w:cs="仿宋" w:hint="eastAsia"/>
          <w:lang w:val="en-US" w:eastAsia="zh-CN"/>
        </w:rPr>
        <w:t>2022年，朝阳区实现规模以上工业总产值728.1亿元，同比增长5.4%。增速比上年收窄3.9个百分点，规模以上工业产值总量领跑五城区。分产业看，能源产业总产值539.7亿元，比上年同期增长23.1%；汽车制造业总产值169.6亿元，比上年同期下降26%。</w:t>
      </w:r>
    </w:p>
    <w:p>
      <w:pPr>
        <w:rPr>
          <w:rFonts w:ascii="仿宋" w:eastAsia="仿宋" w:cs="仿宋" w:hint="eastAsia"/>
          <w:lang w:val="en-US" w:eastAsia="zh-CN"/>
        </w:rPr>
      </w:pPr>
      <w:r>
        <w:rPr>
          <w:rFonts w:ascii="仿宋" w:eastAsia="仿宋" w:cs="仿宋" w:hint="eastAsia"/>
          <w:lang w:val="en-US" w:eastAsia="zh-CN"/>
        </w:rPr>
        <w:t>从行业分类看，朝阳区规模以上工业分布在12个行业中，其中正增长企业和负增长企业各占50%。</w:t>
      </w:r>
    </w:p>
    <w:p>
      <w:pPr>
        <w:tabs>
          <w:tab w:val="left" w:pos="497"/>
        </w:tabs>
        <w:jc w:val="center"/>
        <w:rPr>
          <w:rFonts w:ascii="仿宋" w:eastAsia="仿宋" w:cs="仿宋" w:hint="eastAsia"/>
          <w:b w:val="0"/>
          <w:bCs w:val="0"/>
          <w:color w:val="000000"/>
          <w:sz w:val="30"/>
          <w:szCs w:val="30"/>
          <w14:textFill>
            <w14:solidFill>
              <w14:srgbClr w14:val="000000"/>
            </w14:solidFill>
          </w14:textFill>
          <w:lang w:val="en-US" w:eastAsia="zh-CN"/>
        </w:rPr>
      </w:pPr>
      <w:r>
        <w:rPr>
          <w:rFonts w:ascii="宋体" w:eastAsia="宋体" w:cs="宋体" w:hint="eastAsia"/>
          <w:b/>
          <w:bCs/>
          <w:color w:val="000000"/>
          <w:sz w:val="28"/>
          <w:szCs w:val="28"/>
          <w14:textFill>
            <w14:solidFill>
              <w14:srgbClr w14:val="000000"/>
            </w14:solidFill>
          </w14:textFill>
          <w:lang w:val="en-US" w:eastAsia="zh-CN"/>
        </w:rPr>
        <w:t>2022年朝阳区规模以上工业产值各行业完成情况</w:t>
      </w:r>
    </w:p>
    <w:tbl>
      <w:tblPr>
        <w:jc w:val="cente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899"/>
        <w:gridCol w:w="3555"/>
      </w:tblGrid>
      <w:tr>
        <w:trPr>
          <w:trHeight w:hRule="exact" w:val="454"/>
        </w:trPr>
        <w:tc>
          <w:tcPr>
            <w:tcW w:w="4899" w:type="dxa"/>
            <w:tcBorders>
              <w:left w:val="nil"/>
            </w:tcBorders>
            <w:vAlign w:val="center"/>
          </w:tcPr>
          <w:p>
            <w:pPr>
              <w:tabs>
                <w:tab w:val="left" w:pos="497"/>
              </w:tabs>
              <w:spacing w:line="360" w:lineRule="auto"/>
              <w:jc w:val="center"/>
              <w:rPr>
                <w:rFonts w:ascii="宋体" w:eastAsia="宋体" w:cs="宋体" w:hint="eastAsia"/>
                <w:b/>
                <w:bCs/>
                <w:color w:val="000000"/>
                <w:sz w:val="24"/>
                <w:szCs w:val="24"/>
                <w:vertAlign w:val="baseline"/>
                <w14:textFill>
                  <w14:solidFill>
                    <w14:srgbClr w14:val="000000"/>
                  </w14:solidFill>
                </w14:textFill>
                <w:lang w:val="en-US" w:eastAsia="zh-CN"/>
              </w:rPr>
            </w:pPr>
            <w:r>
              <w:rPr>
                <w:rFonts w:ascii="宋体" w:eastAsia="宋体" w:cs="宋体" w:hint="eastAsia"/>
                <w:b/>
                <w:bCs/>
                <w:color w:val="000000"/>
                <w:sz w:val="24"/>
                <w:szCs w:val="24"/>
                <w:vertAlign w:val="baseline"/>
                <w14:textFill>
                  <w14:solidFill>
                    <w14:srgbClr w14:val="000000"/>
                  </w14:solidFill>
                </w14:textFill>
                <w:lang w:val="en-US" w:eastAsia="zh-CN"/>
              </w:rPr>
              <w:t>行 业 名 称</w:t>
            </w:r>
          </w:p>
        </w:tc>
        <w:tc>
          <w:tcPr>
            <w:tcW w:w="3555" w:type="dxa"/>
            <w:tcBorders>
              <w:right w:val="nil"/>
            </w:tcBorders>
            <w:vAlign w:val="center"/>
          </w:tcPr>
          <w:p>
            <w:pPr>
              <w:tabs>
                <w:tab w:val="left" w:pos="497"/>
              </w:tabs>
              <w:spacing w:line="360" w:lineRule="auto"/>
              <w:jc w:val="center"/>
              <w:rPr>
                <w:rFonts w:ascii="宋体" w:eastAsia="宋体" w:cs="宋体" w:hint="eastAsia"/>
                <w:b/>
                <w:bCs/>
                <w:color w:val="000000"/>
                <w:sz w:val="24"/>
                <w:szCs w:val="24"/>
                <w:vertAlign w:val="baseline"/>
                <w14:textFill>
                  <w14:solidFill>
                    <w14:srgbClr w14:val="000000"/>
                  </w14:solidFill>
                </w14:textFill>
                <w:lang w:val="en-US" w:eastAsia="zh-CN"/>
              </w:rPr>
            </w:pPr>
            <w:r>
              <w:rPr>
                <w:rFonts w:ascii="宋体" w:eastAsia="宋体" w:cs="宋体" w:hint="eastAsia"/>
                <w:b/>
                <w:bCs/>
                <w:color w:val="000000"/>
                <w:sz w:val="24"/>
                <w:szCs w:val="24"/>
                <w:vertAlign w:val="baseline"/>
                <w14:textFill>
                  <w14:solidFill>
                    <w14:srgbClr w14:val="000000"/>
                  </w14:solidFill>
                </w14:textFill>
                <w:lang w:val="en-US" w:eastAsia="zh-CN"/>
              </w:rPr>
              <w:t>同 比 增 速（%）</w:t>
            </w:r>
          </w:p>
        </w:tc>
      </w:tr>
      <w:tr>
        <w:trPr>
          <w:trHeight w:hRule="exact" w:val="454"/>
        </w:trPr>
        <w:tc>
          <w:tcPr>
            <w:tcW w:w="4899" w:type="dxa"/>
            <w:tcBorders>
              <w:left w:val="nil"/>
            </w:tcBorders>
          </w:tcPr>
          <w:p>
            <w:pPr>
              <w:tabs>
                <w:tab w:val="left" w:pos="497"/>
              </w:tabs>
              <w:spacing w:line="360" w:lineRule="auto"/>
              <w:jc w:val="both"/>
              <w:rPr>
                <w:rFonts w:ascii="仿宋" w:eastAsia="仿宋" w:cs="仿宋" w:hint="eastAsia"/>
                <w:b/>
                <w:bCs/>
                <w:color w:val="000000"/>
                <w:sz w:val="24"/>
                <w:szCs w:val="24"/>
                <w:vertAlign w:val="baseline"/>
                <w14:textFill>
                  <w14:solidFill>
                    <w14:srgbClr w14:val="000000"/>
                  </w14:solidFill>
                </w14:textFill>
                <w:lang w:val="en-US" w:eastAsia="zh-CN"/>
              </w:rPr>
            </w:pPr>
            <w:r>
              <w:rPr>
                <w:rFonts w:ascii="仿宋" w:eastAsia="仿宋" w:cs="仿宋" w:hint="eastAsia"/>
                <w:b/>
                <w:bCs/>
                <w:color w:val="000000"/>
                <w:sz w:val="24"/>
                <w:szCs w:val="24"/>
                <w:vertAlign w:val="baseline"/>
                <w14:textFill>
                  <w14:solidFill>
                    <w14:srgbClr w14:val="000000"/>
                  </w14:solidFill>
                </w14:textFill>
                <w:lang w:val="en-US" w:eastAsia="zh-CN"/>
              </w:rPr>
              <w:t>全区总计</w:t>
            </w:r>
          </w:p>
        </w:tc>
        <w:tc>
          <w:tcPr>
            <w:tcW w:w="3555" w:type="dxa"/>
            <w:tcBorders>
              <w:right w:val="nil"/>
            </w:tcBorders>
          </w:tcPr>
          <w:p>
            <w:pPr>
              <w:tabs>
                <w:tab w:val="left" w:pos="497"/>
              </w:tabs>
              <w:spacing w:line="360" w:lineRule="auto"/>
              <w:jc w:val="right"/>
              <w:rPr>
                <w:rFonts w:ascii="仿宋" w:eastAsia="仿宋" w:cs="仿宋"/>
                <w:b/>
                <w:bCs/>
                <w:color w:val="000000"/>
                <w:sz w:val="24"/>
                <w:szCs w:val="24"/>
                <w:vertAlign w:val="baseline"/>
                <w14:textFill>
                  <w14:solidFill>
                    <w14:srgbClr w14:val="000000"/>
                  </w14:solidFill>
                </w14:textFill>
                <w:lang w:val="en-US" w:eastAsia="zh-CN"/>
              </w:rPr>
            </w:pPr>
            <w:r>
              <w:rPr>
                <w:rFonts w:ascii="仿宋" w:eastAsia="仿宋" w:cs="仿宋" w:hint="eastAsia"/>
                <w:b/>
                <w:bCs/>
                <w:color w:val="000000"/>
                <w:sz w:val="24"/>
                <w:szCs w:val="24"/>
                <w:vertAlign w:val="baseline"/>
                <w14:textFill>
                  <w14:solidFill>
                    <w14:srgbClr w14:val="000000"/>
                  </w14:solidFill>
                </w14:textFill>
                <w:lang w:val="en-US" w:eastAsia="zh-CN"/>
              </w:rPr>
              <w:t>5.4</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sz w:val="24"/>
                <w:szCs w:val="24"/>
                <w:vertAlign w:val="baseline"/>
                <w14:textFill>
                  <w14:solidFill>
                    <w14:srgbClr w14:val="000000"/>
                  </w14:solidFill>
                </w14:textFill>
                <w:lang w:val="en-US" w:eastAsia="zh-CN"/>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通用设备制造业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sz w:val="24"/>
                <w:szCs w:val="24"/>
                <w:vertAlign w:val="baseline"/>
                <w14:textFill>
                  <w14:solidFill>
                    <w14:srgbClr w14:val="000000"/>
                  </w14:solidFill>
                </w14:textFill>
                <w:lang w:val="en-US" w:eastAsia="zh-CN"/>
              </w:rPr>
            </w:pPr>
            <w:r>
              <w:rPr>
                <w:rFonts w:ascii="仿宋" w:eastAsia="仿宋" w:cs="仿宋" w:hint="eastAsia"/>
                <w:b w:val="0"/>
                <w:bCs w:val="0"/>
                <w:color w:val="000000"/>
                <w:sz w:val="24"/>
                <w:szCs w:val="24"/>
                <w:vertAlign w:val="baseline"/>
                <w14:textFill>
                  <w14:solidFill>
                    <w14:srgbClr w14:val="000000"/>
                  </w14:solidFill>
                </w14:textFill>
                <w:lang w:val="en-US" w:eastAsia="zh-CN"/>
              </w:rPr>
              <w:t>33.6</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橡胶和塑料制品加工业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31.4</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电力、热力生产和供应业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23.1</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食品制造业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14</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纺织服装、服饰业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5.3</w:t>
            </w:r>
          </w:p>
        </w:tc>
      </w:tr>
      <w:tr>
        <w:trPr>
          <w:trHeight w:hRule="exact" w:val="454"/>
        </w:trPr>
        <w:tc>
          <w:tcPr>
            <w:tcW w:w="4899" w:type="dxa"/>
            <w:tcBorders>
              <w:left w:val="nil"/>
            </w:tcBorders>
          </w:tcPr>
          <w:p>
            <w:pPr>
              <w:tabs>
                <w:tab w:val="left" w:pos="497"/>
              </w:tabs>
              <w:spacing w:line="360" w:lineRule="auto"/>
              <w:ind w:left="0" w:firstLineChars="0" w:firstLine="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 xml:space="preserve">  医药制造业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2.8</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专用设备制造业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-10.6</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农副食品加工业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-18</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金属制品业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-19.3</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非金属制品加工业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-24.5</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sz w:val="24"/>
                <w:szCs w:val="24"/>
                <w:vertAlign w:val="baseline"/>
                <w14:textFill>
                  <w14:solidFill>
                    <w14:srgbClr w14:val="000000"/>
                  </w14:solidFill>
                </w14:textFill>
                <w:lang w:val="en-US" w:eastAsia="zh-CN"/>
              </w:rPr>
              <w:t>汽车制造业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kern w:val="2"/>
                <w:sz w:val="24"/>
                <w:szCs w:val="24"/>
                <w:vertAlign w:val="baseline"/>
                <w14:textFill>
                  <w14:solidFill>
                    <w14:srgbClr w14:val="000000"/>
                  </w14:solidFill>
                </w14:textFill>
                <w:lang w:val="en-US" w:eastAsia="zh-CN" w:bidi="ar-SA"/>
              </w:rPr>
            </w:pPr>
            <w:r>
              <w:rPr>
                <w:rFonts w:ascii="仿宋" w:eastAsia="仿宋" w:cs="仿宋" w:hint="eastAsia"/>
                <w:b w:val="0"/>
                <w:bCs w:val="0"/>
                <w:color w:val="000000"/>
                <w:kern w:val="2"/>
                <w:sz w:val="24"/>
                <w:szCs w:val="24"/>
                <w:vertAlign w:val="baseline"/>
                <w14:textFill>
                  <w14:solidFill>
                    <w14:srgbClr w14:val="000000"/>
                  </w14:solidFill>
                </w14:textFill>
                <w:lang w:val="en-US" w:eastAsia="zh-CN" w:bidi="ar-SA"/>
              </w:rPr>
              <w:t>-26.1</w:t>
            </w:r>
          </w:p>
        </w:tc>
      </w:tr>
      <w:tr>
        <w:trPr>
          <w:trHeight w:hRule="exact" w:val="454"/>
        </w:trPr>
        <w:tc>
          <w:tcPr>
            <w:tcW w:w="4899" w:type="dxa"/>
            <w:tcBorders>
              <w:left w:val="nil"/>
            </w:tcBorders>
          </w:tcPr>
          <w:p>
            <w:pPr>
              <w:tabs>
                <w:tab w:val="left" w:pos="497"/>
              </w:tabs>
              <w:spacing w:line="360" w:lineRule="auto"/>
              <w:ind w:left="0" w:firstLineChars="100" w:firstLine="240"/>
              <w:jc w:val="both"/>
              <w:rPr>
                <w:rFonts w:ascii="仿宋" w:eastAsia="仿宋" w:cs="仿宋" w:hint="eastAsia"/>
                <w:b w:val="0"/>
                <w:bCs w:val="0"/>
                <w:color w:val="000000"/>
                <w:sz w:val="24"/>
                <w:szCs w:val="24"/>
                <w:vertAlign w:val="baseline"/>
                <w14:textFill>
                  <w14:solidFill>
                    <w14:srgbClr w14:val="000000"/>
                  </w14:solidFill>
                </w14:textFill>
                <w:lang w:val="en-US" w:eastAsia="zh-CN"/>
              </w:rPr>
            </w:pPr>
            <w:r>
              <w:rPr>
                <w:rFonts w:ascii="仿宋" w:eastAsia="仿宋" w:cs="仿宋" w:hint="eastAsia"/>
                <w:b w:val="0"/>
                <w:bCs w:val="0"/>
                <w:color w:val="000000"/>
                <w:sz w:val="24"/>
                <w:szCs w:val="24"/>
                <w:vertAlign w:val="baseline"/>
                <w14:textFill>
                  <w14:solidFill>
                    <w14:srgbClr w14:val="000000"/>
                  </w14:solidFill>
                </w14:textFill>
                <w:lang w:val="en-US" w:eastAsia="zh-CN"/>
              </w:rPr>
              <w:t>化学原料和化学制品制造业</w:t>
            </w:r>
          </w:p>
        </w:tc>
        <w:tc>
          <w:tcPr>
            <w:tcW w:w="3555" w:type="dxa"/>
            <w:tcBorders>
              <w:right w:val="nil"/>
            </w:tcBorders>
          </w:tcPr>
          <w:p>
            <w:pPr>
              <w:tabs>
                <w:tab w:val="left" w:pos="497"/>
              </w:tabs>
              <w:spacing w:line="360" w:lineRule="auto"/>
              <w:ind w:left="0" w:firstLineChars="0" w:firstLine="0"/>
              <w:jc w:val="right"/>
              <w:rPr>
                <w:rFonts w:ascii="仿宋" w:eastAsia="仿宋" w:cs="仿宋"/>
                <w:b w:val="0"/>
                <w:bCs w:val="0"/>
                <w:color w:val="000000"/>
                <w:sz w:val="24"/>
                <w:szCs w:val="24"/>
                <w:vertAlign w:val="baseline"/>
                <w14:textFill>
                  <w14:solidFill>
                    <w14:srgbClr w14:val="000000"/>
                  </w14:solidFill>
                </w14:textFill>
                <w:lang w:val="en-US" w:eastAsia="zh-CN"/>
              </w:rPr>
            </w:pPr>
            <w:r>
              <w:rPr>
                <w:rFonts w:ascii="仿宋" w:eastAsia="仿宋" w:cs="仿宋" w:hint="eastAsia"/>
                <w:b w:val="0"/>
                <w:bCs w:val="0"/>
                <w:color w:val="000000"/>
                <w:sz w:val="24"/>
                <w:szCs w:val="24"/>
                <w:vertAlign w:val="baseline"/>
                <w14:textFill>
                  <w14:solidFill>
                    <w14:srgbClr w14:val="000000"/>
                  </w14:solidFill>
                </w14:textFill>
                <w:lang w:val="en-US" w:eastAsia="zh-CN"/>
              </w:rPr>
              <w:t>-74</w:t>
            </w:r>
          </w:p>
        </w:tc>
      </w:tr>
    </w:tbl>
    <w:p>
      <w:pPr>
        <w:pStyle w:val="1"/>
        <w:ind w:left="0" w:firstLineChars="200" w:firstLine="640"/>
        <w:rPr>
          <w:rFonts w:hint="eastAsia"/>
        </w:rPr>
      </w:pPr>
    </w:p>
    <w:p>
      <w:pPr>
        <w:pStyle w:val="1"/>
        <w:ind w:left="0" w:firstLineChars="200" w:firstLine="640"/>
      </w:pPr>
      <w:r>
        <w:rPr>
          <w:rFonts w:hint="eastAsia"/>
        </w:rPr>
        <w:t>四、建筑业</w:t>
      </w:r>
    </w:p>
    <w:p>
      <w:pPr>
        <w:keepNext w:val="0"/>
        <w:keepLines w:val="0"/>
        <w:pageBreakBefore w:val="0"/>
        <w:widowControl w:val="0"/>
        <w:kinsoku/>
        <w:wordWrap/>
        <w:overflowPunct/>
        <w:topLinePunct w:val="0"/>
        <w:autoSpaceDE/>
        <w:autoSpaceDN/>
        <w:bidi w:val="0"/>
        <w:adjustRightInd/>
        <w:snapToGrid/>
        <w:ind w:firstLineChars="200" w:firstLine="640"/>
        <w:textAlignment w:val="auto"/>
        <w:rPr>
          <w:rFonts w:ascii="仿宋" w:eastAsia="仿宋" w:cs="仿宋" w:hint="eastAsia"/>
          <w:lang w:val="en-US" w:eastAsia="zh-CN"/>
        </w:rPr>
      </w:pPr>
      <w:r>
        <w:rPr>
          <w:rFonts w:ascii="仿宋" w:eastAsia="仿宋" w:cs="仿宋" w:hint="eastAsia"/>
          <w:lang w:val="en-US" w:eastAsia="zh-CN"/>
        </w:rPr>
        <w:t>2022年，全区254户资质以上建筑业完成总产值101.2亿元，同比下降36.7%，增速位居五城区第五。受本年疫情影响，增速与上年同期相比降低了39.2个百分点，降幅较三季度扩大了11.5个百分点。全区完成建筑工程产值67.5亿元，同比下降45%，占建筑业总产值比重的66.7%，主导着朝阳区建筑业的经济走向；建筑安装工程产值完成24.8亿元，同比下降11.5%，占比首次突破24%；其他产值完成8.9亿元，同比下降3.7%。详见下表：</w:t>
      </w:r>
    </w:p>
    <w:tbl>
      <w:tblPr>
        <w:jc w:val="center"/>
        <w:tblW w:w="4734" w:type="pct"/>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2365"/>
        <w:gridCol w:w="2062"/>
        <w:gridCol w:w="1941"/>
        <w:gridCol w:w="1701"/>
      </w:tblGrid>
      <w:tr>
        <w:trPr>
          <w:trHeight w:val="718"/>
        </w:trPr>
        <w:tc>
          <w:tcPr>
            <w:tcW w:w="5000" w:type="pct"/>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eastAsia="黑体" w:cs="黑体"/>
                <w:b/>
                <w:bCs/>
                <w:i w:val="0"/>
                <w:iCs w:val="0"/>
                <w:color w:val="auto"/>
                <w:sz w:val="24"/>
                <w:szCs w:val="24"/>
                <w:u w:val="none"/>
              </w:rPr>
            </w:pPr>
            <w:r>
              <w:rPr>
                <w:rFonts w:ascii="黑体" w:eastAsia="黑体" w:cs="黑体" w:hint="eastAsia"/>
                <w:b w:val="0"/>
                <w:bCs w:val="0"/>
                <w:i w:val="0"/>
                <w:iCs w:val="0"/>
                <w:color w:val="auto"/>
                <w:kern w:val="0"/>
                <w:sz w:val="28"/>
                <w:szCs w:val="28"/>
                <w:u w:val="none"/>
                <w:lang w:val="en-US" w:eastAsia="zh-CN"/>
              </w:rPr>
              <w:t xml:space="preserve">表1  </w:t>
            </w:r>
            <w:r>
              <w:rPr>
                <w:rFonts w:ascii="黑体" w:eastAsia="黑体" w:cs="黑体" w:hint="eastAsia"/>
                <w:b/>
                <w:bCs/>
                <w:i w:val="0"/>
                <w:iCs w:val="0"/>
                <w:color w:val="auto"/>
                <w:kern w:val="0"/>
                <w:sz w:val="28"/>
                <w:szCs w:val="28"/>
                <w:u w:val="none"/>
                <w:lang w:val="en-US" w:eastAsia="zh-CN"/>
              </w:rPr>
              <w:t>建筑业1-4季度产值完成情况</w:t>
            </w:r>
          </w:p>
        </w:tc>
      </w:tr>
      <w:tr>
        <w:trPr>
          <w:trHeight w:val="466"/>
        </w:trPr>
        <w:tc>
          <w:tcPr>
            <w:tcW w:w="1794" w:type="pc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100" w:line="240" w:lineRule="auto"/>
              <w:jc w:val="center"/>
              <w:textAlignment w:val="center"/>
              <w:rPr>
                <w:rFonts w:ascii="黑体" w:eastAsia="黑体" w:cs="黑体" w:hint="eastAsia"/>
                <w:b/>
                <w:bCs/>
                <w:i w:val="0"/>
                <w:iCs w:val="0"/>
                <w:color w:val="auto"/>
                <w:sz w:val="24"/>
                <w:szCs w:val="24"/>
                <w:u w:val="none"/>
              </w:rPr>
            </w:pPr>
            <w:r>
              <w:rPr>
                <w:rFonts w:ascii="黑体" w:eastAsia="黑体" w:cs="黑体" w:hint="eastAsia"/>
                <w:b/>
                <w:bCs/>
                <w:i w:val="0"/>
                <w:iCs w:val="0"/>
                <w:color w:val="auto"/>
                <w:kern w:val="0"/>
                <w:sz w:val="24"/>
                <w:szCs w:val="24"/>
                <w:u w:val="none"/>
                <w:lang w:val="en-US" w:eastAsia="zh-CN"/>
              </w:rPr>
              <w:t>产值类型</w:t>
            </w:r>
          </w:p>
        </w:tc>
        <w:tc>
          <w:tcPr>
            <w:tcW w:w="11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100" w:line="240" w:lineRule="auto"/>
              <w:jc w:val="center"/>
              <w:textAlignment w:val="bottom"/>
              <w:rPr>
                <w:rFonts w:ascii="黑体" w:eastAsia="黑体" w:cs="黑体" w:hint="eastAsia"/>
                <w:b/>
                <w:bCs/>
                <w:i w:val="0"/>
                <w:iCs w:val="0"/>
                <w:color w:val="auto"/>
                <w:sz w:val="24"/>
                <w:szCs w:val="24"/>
                <w:u w:val="none"/>
              </w:rPr>
            </w:pPr>
            <w:r>
              <w:rPr>
                <w:rFonts w:ascii="黑体" w:eastAsia="黑体" w:cs="黑体" w:hint="eastAsia"/>
                <w:b/>
                <w:bCs/>
                <w:i w:val="0"/>
                <w:iCs w:val="0"/>
                <w:color w:val="auto"/>
                <w:kern w:val="0"/>
                <w:sz w:val="24"/>
                <w:szCs w:val="24"/>
                <w:u w:val="none"/>
                <w:lang w:val="en-US" w:eastAsia="zh-CN"/>
              </w:rPr>
              <w:t>产值(亿元)</w:t>
            </w:r>
          </w:p>
        </w:tc>
        <w:tc>
          <w:tcPr>
            <w:tcW w:w="10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100" w:line="240" w:lineRule="auto"/>
              <w:jc w:val="center"/>
              <w:textAlignment w:val="center"/>
              <w:rPr>
                <w:rFonts w:ascii="黑体" w:eastAsia="黑体" w:cs="黑体" w:hint="eastAsia"/>
                <w:b/>
                <w:bCs/>
                <w:i w:val="0"/>
                <w:iCs w:val="0"/>
                <w:color w:val="auto"/>
                <w:sz w:val="24"/>
                <w:szCs w:val="24"/>
                <w:u w:val="none"/>
              </w:rPr>
            </w:pPr>
            <w:r>
              <w:rPr>
                <w:rFonts w:ascii="黑体" w:eastAsia="黑体" w:cs="黑体" w:hint="eastAsia"/>
                <w:b/>
                <w:bCs/>
                <w:i w:val="0"/>
                <w:iCs w:val="0"/>
                <w:color w:val="auto"/>
                <w:kern w:val="0"/>
                <w:sz w:val="24"/>
                <w:szCs w:val="24"/>
                <w:u w:val="none"/>
                <w:lang w:val="en-US" w:eastAsia="zh-CN"/>
              </w:rPr>
              <w:t>同比（%）</w:t>
            </w:r>
          </w:p>
        </w:tc>
        <w:tc>
          <w:tcPr>
            <w:tcW w:w="922" w:type="pct"/>
            <w:tcBorders>
              <w:top w:val="single" w:sz="4" w:space="0" w:color="000000"/>
              <w:left w:val="single" w:sz="4" w:space="0" w:color="000000"/>
              <w:bottom w:val="single" w:sz="4" w:space="0" w:color="00000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100" w:line="240" w:lineRule="auto"/>
              <w:jc w:val="center"/>
              <w:textAlignment w:val="center"/>
              <w:rPr>
                <w:rFonts w:ascii="黑体" w:eastAsia="黑体" w:cs="黑体" w:hint="eastAsia"/>
                <w:b/>
                <w:bCs/>
                <w:i w:val="0"/>
                <w:iCs w:val="0"/>
                <w:color w:val="auto"/>
                <w:sz w:val="24"/>
                <w:szCs w:val="24"/>
                <w:u w:val="none"/>
              </w:rPr>
            </w:pPr>
            <w:r>
              <w:rPr>
                <w:rFonts w:ascii="黑体" w:eastAsia="黑体" w:cs="黑体" w:hint="eastAsia"/>
                <w:b/>
                <w:bCs/>
                <w:i w:val="0"/>
                <w:iCs w:val="0"/>
                <w:color w:val="auto"/>
                <w:kern w:val="0"/>
                <w:sz w:val="24"/>
                <w:szCs w:val="24"/>
                <w:u w:val="none"/>
                <w:lang w:val="en-US" w:eastAsia="zh-CN"/>
              </w:rPr>
              <w:t>占比(%)</w:t>
            </w:r>
          </w:p>
        </w:tc>
      </w:tr>
      <w:tr>
        <w:trPr>
          <w:trHeight w:val="466"/>
        </w:trPr>
        <w:tc>
          <w:tcPr>
            <w:tcW w:w="1794" w:type="pc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100" w:line="240" w:lineRule="auto"/>
              <w:jc w:val="center"/>
              <w:rPr>
                <w:rFonts w:hint="eastAsia"/>
                <w:color w:val="auto"/>
                <w:sz w:val="22"/>
                <w:szCs w:val="22"/>
              </w:rPr>
            </w:pPr>
            <w:r>
              <w:rPr>
                <w:rFonts w:hint="eastAsia"/>
                <w:b/>
                <w:bCs/>
                <w:color w:val="auto"/>
                <w:sz w:val="22"/>
                <w:szCs w:val="22"/>
                <w:lang w:val="en-US" w:eastAsia="zh-CN"/>
              </w:rPr>
              <w:t>总</w:t>
            </w:r>
            <w:r>
              <w:rPr>
                <w:b/>
                <w:bCs/>
                <w:color w:val="auto"/>
                <w:sz w:val="22"/>
                <w:szCs w:val="22"/>
                <w:lang w:val="en-US" w:eastAsia="zh-CN"/>
              </w:rPr>
              <w:t xml:space="preserve"> 产 值</w:t>
            </w:r>
          </w:p>
        </w:tc>
        <w:tc>
          <w:tcPr>
            <w:tcW w:w="119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101.2</w:t>
            </w:r>
          </w:p>
        </w:tc>
        <w:tc>
          <w:tcPr>
            <w:tcW w:w="109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-36.7</w:t>
            </w:r>
          </w:p>
        </w:tc>
        <w:tc>
          <w:tcPr>
            <w:tcW w:w="922" w:type="pct"/>
            <w:tcBorders>
              <w:top w:val="single" w:sz="4" w:space="0" w:color="000000"/>
              <w:left w:val="single" w:sz="4" w:space="0" w:color="000000"/>
              <w:bottom w:val="single" w:sz="4" w:space="0" w:color="00000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rFonts w:eastAsia="宋体"/>
                <w:color w:val="auto"/>
                <w:sz w:val="22"/>
                <w:szCs w:val="22"/>
                <w:lang w:val="en-US" w:eastAsia="zh-CN"/>
              </w:rPr>
            </w:pPr>
            <w:r>
              <w:rPr>
                <w:rFonts w:eastAsia="宋体" w:hint="eastAsia"/>
                <w:color w:val="auto"/>
                <w:sz w:val="22"/>
                <w:szCs w:val="22"/>
                <w:lang w:val="en-US" w:eastAsia="zh-CN"/>
              </w:rPr>
              <w:t>—</w:t>
            </w:r>
          </w:p>
        </w:tc>
      </w:tr>
      <w:tr>
        <w:trPr>
          <w:trHeight w:val="466"/>
        </w:trPr>
        <w:tc>
          <w:tcPr>
            <w:tcW w:w="1794" w:type="pc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100" w:line="240" w:lineRule="auto"/>
              <w:jc w:val="center"/>
              <w:rPr>
                <w:rFonts w:hint="eastAsia"/>
                <w:b/>
                <w:bCs/>
                <w:color w:val="auto"/>
                <w:sz w:val="22"/>
                <w:szCs w:val="22"/>
              </w:rPr>
            </w:pPr>
            <w:r>
              <w:rPr>
                <w:rFonts w:hint="eastAsia"/>
                <w:b/>
                <w:bCs/>
                <w:color w:val="auto"/>
                <w:sz w:val="22"/>
                <w:szCs w:val="22"/>
                <w:lang w:val="en-US" w:eastAsia="zh-CN"/>
              </w:rPr>
              <w:t>建筑工程产值</w:t>
            </w:r>
          </w:p>
        </w:tc>
        <w:tc>
          <w:tcPr>
            <w:tcW w:w="119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67.5</w:t>
            </w:r>
          </w:p>
        </w:tc>
        <w:tc>
          <w:tcPr>
            <w:tcW w:w="109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-45</w:t>
            </w:r>
          </w:p>
        </w:tc>
        <w:tc>
          <w:tcPr>
            <w:tcW w:w="922" w:type="pct"/>
            <w:tcBorders>
              <w:top w:val="single" w:sz="4" w:space="0" w:color="000000"/>
              <w:left w:val="single" w:sz="4" w:space="0" w:color="000000"/>
              <w:bottom w:val="single" w:sz="4" w:space="0" w:color="00000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66.7</w:t>
            </w:r>
          </w:p>
        </w:tc>
      </w:tr>
      <w:tr>
        <w:trPr>
          <w:trHeight w:val="466"/>
        </w:trPr>
        <w:tc>
          <w:tcPr>
            <w:tcW w:w="1794" w:type="pc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100" w:line="240" w:lineRule="auto"/>
              <w:jc w:val="center"/>
              <w:rPr>
                <w:rFonts w:hint="eastAsia"/>
                <w:b/>
                <w:bCs/>
                <w:color w:val="auto"/>
                <w:sz w:val="22"/>
                <w:szCs w:val="22"/>
              </w:rPr>
            </w:pPr>
            <w:r>
              <w:rPr>
                <w:rFonts w:hint="eastAsia"/>
                <w:b/>
                <w:bCs/>
                <w:color w:val="auto"/>
                <w:sz w:val="22"/>
                <w:szCs w:val="22"/>
                <w:lang w:val="en-US" w:eastAsia="zh-CN"/>
              </w:rPr>
              <w:t>安装工程产值</w:t>
            </w:r>
          </w:p>
        </w:tc>
        <w:tc>
          <w:tcPr>
            <w:tcW w:w="119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24.8</w:t>
            </w:r>
          </w:p>
        </w:tc>
        <w:tc>
          <w:tcPr>
            <w:tcW w:w="109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-11.5</w:t>
            </w:r>
          </w:p>
        </w:tc>
        <w:tc>
          <w:tcPr>
            <w:tcW w:w="922" w:type="pct"/>
            <w:tcBorders>
              <w:top w:val="single" w:sz="4" w:space="0" w:color="000000"/>
              <w:left w:val="single" w:sz="4" w:space="0" w:color="000000"/>
              <w:bottom w:val="single" w:sz="4" w:space="0" w:color="00000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24.5</w:t>
            </w:r>
          </w:p>
        </w:tc>
      </w:tr>
      <w:tr>
        <w:trPr>
          <w:trHeight w:val="487"/>
        </w:trPr>
        <w:tc>
          <w:tcPr>
            <w:tcW w:w="1794" w:type="pct"/>
            <w:tcBorders>
              <w:top w:val="single" w:sz="4" w:space="0" w:color="000000"/>
              <w:left w:val="nil"/>
              <w:bottom w:val="single" w:sz="4" w:space="0" w:color="000000"/>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100" w:line="240" w:lineRule="auto"/>
              <w:jc w:val="center"/>
              <w:rPr>
                <w:rFonts w:hint="eastAsia"/>
                <w:b/>
                <w:bCs/>
                <w:color w:val="auto"/>
                <w:sz w:val="22"/>
                <w:szCs w:val="22"/>
              </w:rPr>
            </w:pPr>
            <w:r>
              <w:rPr>
                <w:rFonts w:hint="eastAsia"/>
                <w:b/>
                <w:bCs/>
                <w:color w:val="auto"/>
                <w:sz w:val="22"/>
                <w:szCs w:val="22"/>
                <w:lang w:val="en-US" w:eastAsia="zh-CN"/>
              </w:rPr>
              <w:t>其他产值</w:t>
            </w:r>
          </w:p>
        </w:tc>
        <w:tc>
          <w:tcPr>
            <w:tcW w:w="119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8.9</w:t>
            </w:r>
          </w:p>
        </w:tc>
        <w:tc>
          <w:tcPr>
            <w:tcW w:w="109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color w:val="auto"/>
                <w:sz w:val="22"/>
                <w:szCs w:val="22"/>
                <w:lang w:val="en-US" w:eastAsia="zh-CN"/>
              </w:rPr>
              <w:t>-</w:t>
            </w:r>
            <w:r>
              <w:rPr>
                <w:rFonts w:hint="eastAsia"/>
                <w:color w:val="auto"/>
                <w:sz w:val="22"/>
                <w:szCs w:val="22"/>
                <w:lang w:val="en-US" w:eastAsia="zh-CN"/>
              </w:rPr>
              <w:t>3.7</w:t>
            </w:r>
          </w:p>
        </w:tc>
        <w:tc>
          <w:tcPr>
            <w:tcW w:w="922" w:type="pct"/>
            <w:tcBorders>
              <w:top w:val="single" w:sz="4" w:space="0" w:color="000000"/>
              <w:left w:val="single" w:sz="4" w:space="0" w:color="000000"/>
              <w:bottom w:val="single" w:sz="4" w:space="0" w:color="00000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after="100" w:line="240" w:lineRule="auto"/>
              <w:jc w:val="center"/>
              <w:rPr>
                <w:color w:val="auto"/>
                <w:sz w:val="22"/>
                <w:szCs w:val="22"/>
                <w:lang w:val="en-US"/>
              </w:rPr>
            </w:pPr>
            <w:r>
              <w:rPr>
                <w:rFonts w:hint="eastAsia"/>
                <w:color w:val="auto"/>
                <w:sz w:val="22"/>
                <w:szCs w:val="22"/>
                <w:lang w:val="en-US" w:eastAsia="zh-CN"/>
              </w:rPr>
              <w:t>8.8</w:t>
            </w:r>
          </w:p>
        </w:tc>
      </w:tr>
    </w:tbl>
    <w:p>
      <w:pPr>
        <w:rPr>
          <w:rFonts w:ascii="仿宋" w:eastAsia="仿宋" w:cs="仿宋" w:hint="eastAsia"/>
          <w:lang w:val="en-US" w:eastAsia="zh-CN"/>
        </w:rPr>
      </w:pPr>
    </w:p>
    <w:p>
      <w:pPr>
        <w:spacing w:line="360" w:lineRule="auto"/>
        <w:ind w:firstLineChars="600" w:firstLine="1920"/>
        <w:jc w:val="both"/>
        <w:rPr>
          <w:rFonts w:ascii="仿宋" w:eastAsia="仿宋"/>
          <w:color w:val="000000"/>
          <w:szCs w:val="32"/>
          <w14:textFill>
            <w14:solidFill>
              <w14:srgbClr w14:val="000000"/>
            </w14:solidFill>
          </w14:textFill>
        </w:rPr>
      </w:pPr>
      <w:r>
        <w:rPr>
          <w:rFonts w:ascii="仿宋" w:eastAsia="仿宋" w:hint="eastAsia"/>
          <w:color w:val="000000"/>
          <w:sz w:val="32"/>
          <w:szCs w:val="32"/>
          <w14:textFill>
            <w14:solidFill>
              <w14:srgbClr w14:val="000000"/>
            </w14:solidFill>
          </w14:textFill>
          <w:lang w:val="en-US" w:eastAsia="zh-CN"/>
        </w:rPr>
        <w:t xml:space="preserve"> </w:t>
      </w:r>
      <w:r>
        <w:rPr>
          <w:rFonts w:ascii="宋体" w:eastAsia="宋体" w:cs="宋体" w:hint="eastAsia"/>
          <w:b/>
          <w:bCs/>
          <w:color w:val="000000"/>
          <w:sz w:val="28"/>
          <w:szCs w:val="28"/>
          <w14:textFill>
            <w14:solidFill>
              <w14:srgbClr w14:val="000000"/>
            </w14:solidFill>
          </w14:textFill>
          <w:lang w:val="en-US" w:eastAsia="zh-CN"/>
        </w:rPr>
        <w:t>2022年</w:t>
      </w:r>
      <w:r>
        <w:rPr>
          <w:rFonts w:ascii="宋体" w:eastAsia="宋体" w:cs="宋体" w:hint="eastAsia"/>
          <w:b/>
          <w:bCs/>
          <w:color w:val="000000"/>
          <w:sz w:val="28"/>
          <w:szCs w:val="28"/>
          <w14:textFill>
            <w14:solidFill>
              <w14:srgbClr w14:val="000000"/>
            </w14:solidFill>
          </w14:textFill>
        </w:rPr>
        <w:t>1-4季度建筑业总产值完成情况</w:t>
      </w:r>
    </w:p>
    <w:p>
      <w:pPr>
        <w:rPr>
          <w:rFonts w:ascii="仿宋" w:eastAsia="仿宋"/>
          <w:color w:val="000000"/>
          <w:sz w:val="32"/>
          <w:szCs w:val="32"/>
          <w14:textFill>
            <w14:solidFill>
              <w14:srgbClr w14:val="000000"/>
            </w14:solidFill>
          </w14:textFill>
          <w:lang w:val="en-US" w:eastAsia="zh-CN"/>
        </w:rPr>
      </w:pPr>
      <w:r>
        <w:rPr>
          <w:rFonts w:ascii="仿宋" w:eastAsia="仿宋"/>
          <w:color w:val="000000"/>
          <w:sz w:val="32"/>
          <w:szCs w:val="32"/>
          <w14:textFill>
            <w14:solidFill>
              <w14:srgbClr w14:val="000000"/>
            </w14:solidFill>
          </w14:textFill>
        </w:rPr>
        <w:drawing>
          <wp:inline distT="0" distB="0" distL="114300" distR="114300">
            <wp:extent cx="4563110" cy="3274695"/>
            <wp:effectExtent l="0" t="0" r="0" b="0"/>
            <wp:docPr id="2" name="图表 5"/>
            <wp:cNvGraphicFramePr>
              <a:graphicFrameLocks noChangeAspect="0"/>
            </wp:cNvGraphicFramePr>
            <a:graphic>
              <a:graphicData uri="http://schemas.openxmlformats.org/drawingml/2006/chart">
                <c:chart xmlns:c="http://schemas.openxmlformats.org/drawingml/2006/chart" r:id="rId4"/>
              </a:graphicData>
            </a:graphic>
          </wp:inline>
        </w:drawing>
      </w:r>
    </w:p>
    <w:p>
      <w:pPr>
        <w:pStyle w:val="1"/>
      </w:pPr>
      <w:r>
        <w:rPr>
          <w:rFonts w:hint="eastAsia"/>
        </w:rPr>
        <w:t>五、固定投资和房地产开发</w:t>
      </w:r>
    </w:p>
    <w:p>
      <w:pPr>
        <w:pStyle w:val="1"/>
        <w:ind w:left="0" w:firstLineChars="200" w:firstLine="640"/>
        <w:rPr>
          <w:rFonts w:ascii="仿宋" w:eastAsia="仿宋" w:cs="仿宋" w:hint="eastAsia"/>
          <w:b w:val="0"/>
          <w:bCs w:val="0"/>
          <w:color w:val="000000"/>
          <w:sz w:val="32"/>
          <w:szCs w:val="32"/>
          <w14:textFill>
            <w14:solidFill>
              <w14:srgbClr w14:val="000000"/>
            </w14:solidFill>
          </w14:textFill>
        </w:rPr>
      </w:pPr>
      <w:r>
        <w:rPr>
          <w:rFonts w:ascii="仿宋" w:eastAsia="仿宋" w:cs="仿宋" w:hint="eastAsia"/>
          <w:b w:val="0"/>
          <w:bCs w:val="0"/>
          <w:color w:val="000000"/>
          <w:sz w:val="32"/>
          <w:szCs w:val="32"/>
          <w14:textFill>
            <w14:solidFill>
              <w14:srgbClr w14:val="000000"/>
            </w14:solidFill>
          </w14:textFill>
          <w:lang w:eastAsia="zh-CN"/>
        </w:rPr>
        <w:t>年</w:t>
      </w:r>
      <w:r>
        <w:rPr>
          <w:rFonts w:ascii="仿宋" w:eastAsia="仿宋" w:cs="仿宋" w:hint="eastAsia"/>
          <w:b w:val="0"/>
          <w:bCs w:val="0"/>
          <w:color w:val="000000"/>
          <w:sz w:val="32"/>
          <w:szCs w:val="32"/>
          <w14:textFill>
            <w14:solidFill>
              <w14:srgbClr w14:val="000000"/>
            </w14:solidFill>
          </w14:textFill>
        </w:rPr>
        <w:t>初以来，朝阳区不断加大项目建设力度，扎实做好稳投资工作，但因疫情肆虐等大环境影响，固定资产投资略有下降</w:t>
      </w:r>
      <w:r>
        <w:rPr>
          <w:rFonts w:ascii="仿宋" w:eastAsia="仿宋" w:cs="仿宋" w:hint="eastAsia"/>
          <w:b w:val="0"/>
          <w:bCs w:val="0"/>
          <w:color w:val="000000"/>
          <w:szCs w:val="32"/>
          <w14:textFill>
            <w14:solidFill>
              <w14:srgbClr w14:val="000000"/>
            </w14:solidFill>
          </w14:textFill>
        </w:rPr>
        <w:t>。朝阳区</w:t>
      </w:r>
      <w:r>
        <w:rPr>
          <w:rFonts w:ascii="仿宋" w:eastAsia="仿宋" w:cs="仿宋" w:hint="eastAsia"/>
          <w:b w:val="0"/>
          <w:bCs w:val="0"/>
          <w:color w:val="000000"/>
          <w:szCs w:val="32"/>
          <w14:textFill>
            <w14:solidFill>
              <w14:srgbClr w14:val="000000"/>
            </w14:solidFill>
          </w14:textFill>
          <w:lang w:eastAsia="zh-CN"/>
        </w:rPr>
        <w:t>全年</w:t>
      </w:r>
      <w:r>
        <w:rPr>
          <w:rFonts w:ascii="仿宋" w:eastAsia="仿宋" w:cs="仿宋" w:hint="eastAsia"/>
          <w:b w:val="0"/>
          <w:bCs w:val="0"/>
          <w:color w:val="000000"/>
          <w:szCs w:val="32"/>
          <w14:textFill>
            <w14:solidFill>
              <w14:srgbClr w14:val="000000"/>
            </w14:solidFill>
          </w14:textFill>
        </w:rPr>
        <w:t>累计完成固定资产投资</w:t>
      </w:r>
      <w:r>
        <w:rPr>
          <w:rFonts w:ascii="仿宋" w:eastAsia="仿宋" w:cs="仿宋" w:hint="eastAsia"/>
          <w:b w:val="0"/>
          <w:bCs w:val="0"/>
          <w:color w:val="000000"/>
          <w:szCs w:val="32"/>
          <w14:textFill>
            <w14:solidFill>
              <w14:srgbClr w14:val="000000"/>
            </w14:solidFill>
          </w14:textFill>
          <w:lang w:val="en-US" w:eastAsia="zh-CN"/>
        </w:rPr>
        <w:t>120.7</w:t>
      </w:r>
      <w:r>
        <w:rPr>
          <w:rFonts w:ascii="仿宋" w:eastAsia="仿宋" w:cs="仿宋" w:hint="eastAsia"/>
          <w:b w:val="0"/>
          <w:bCs w:val="0"/>
          <w:color w:val="000000"/>
          <w:szCs w:val="32"/>
          <w14:textFill>
            <w14:solidFill>
              <w14:srgbClr w14:val="000000"/>
            </w14:solidFill>
          </w14:textFill>
        </w:rPr>
        <w:t>亿元，同比</w:t>
      </w:r>
      <w:r>
        <w:rPr>
          <w:rFonts w:ascii="仿宋" w:eastAsia="仿宋" w:cs="仿宋" w:hint="eastAsia"/>
          <w:b w:val="0"/>
          <w:bCs w:val="0"/>
          <w:color w:val="000000"/>
          <w:szCs w:val="32"/>
          <w14:textFill>
            <w14:solidFill>
              <w14:srgbClr w14:val="000000"/>
            </w14:solidFill>
          </w14:textFill>
          <w:lang w:eastAsia="zh-CN"/>
        </w:rPr>
        <w:t>下降</w:t>
      </w:r>
      <w:r>
        <w:rPr>
          <w:rFonts w:ascii="仿宋" w:eastAsia="仿宋" w:cs="仿宋" w:hint="eastAsia"/>
          <w:b w:val="0"/>
          <w:bCs w:val="0"/>
          <w:color w:val="000000"/>
          <w:szCs w:val="32"/>
          <w14:textFill>
            <w14:solidFill>
              <w14:srgbClr w14:val="000000"/>
            </w14:solidFill>
          </w14:textFill>
          <w:lang w:val="en-US" w:eastAsia="zh-CN"/>
        </w:rPr>
        <w:t>3</w:t>
      </w:r>
      <w:r>
        <w:rPr>
          <w:rFonts w:ascii="仿宋" w:eastAsia="仿宋" w:cs="仿宋" w:hint="eastAsia"/>
          <w:b w:val="0"/>
          <w:bCs w:val="0"/>
          <w:color w:val="000000"/>
          <w:szCs w:val="32"/>
          <w14:textFill>
            <w14:solidFill>
              <w14:srgbClr w14:val="000000"/>
            </w14:solidFill>
          </w14:textFill>
        </w:rPr>
        <w:t>%，当年增速较上年同期降低</w:t>
      </w:r>
      <w:r>
        <w:rPr>
          <w:rFonts w:ascii="仿宋" w:eastAsia="仿宋" w:cs="仿宋" w:hint="eastAsia"/>
          <w:b w:val="0"/>
          <w:bCs w:val="0"/>
          <w:color w:val="000000"/>
          <w:szCs w:val="32"/>
          <w14:textFill>
            <w14:solidFill>
              <w14:srgbClr w14:val="000000"/>
            </w14:solidFill>
          </w14:textFill>
          <w:lang w:val="en-US" w:eastAsia="zh-CN"/>
        </w:rPr>
        <w:t>22.9</w:t>
      </w:r>
      <w:r>
        <w:rPr>
          <w:rFonts w:ascii="仿宋" w:eastAsia="仿宋" w:cs="仿宋" w:hint="eastAsia"/>
          <w:b w:val="0"/>
          <w:bCs w:val="0"/>
          <w:color w:val="000000"/>
          <w:szCs w:val="32"/>
          <w14:textFill>
            <w14:solidFill>
              <w14:srgbClr w14:val="000000"/>
            </w14:solidFill>
          </w14:textFill>
        </w:rPr>
        <w:t>个百分点。其中，500万元以上固定资产投资完成</w:t>
      </w:r>
      <w:r>
        <w:rPr>
          <w:rFonts w:ascii="仿宋" w:eastAsia="仿宋" w:cs="仿宋" w:hint="eastAsia"/>
          <w:b w:val="0"/>
          <w:bCs w:val="0"/>
          <w:color w:val="000000"/>
          <w:szCs w:val="32"/>
          <w14:textFill>
            <w14:solidFill>
              <w14:srgbClr w14:val="000000"/>
            </w14:solidFill>
          </w14:textFill>
          <w:lang w:val="en-US" w:eastAsia="zh-CN"/>
        </w:rPr>
        <w:t>99.1</w:t>
      </w:r>
      <w:r>
        <w:rPr>
          <w:rFonts w:ascii="仿宋" w:eastAsia="仿宋" w:cs="仿宋" w:hint="eastAsia"/>
          <w:b w:val="0"/>
          <w:bCs w:val="0"/>
          <w:color w:val="000000"/>
          <w:szCs w:val="32"/>
          <w14:textFill>
            <w14:solidFill>
              <w14:srgbClr w14:val="000000"/>
            </w14:solidFill>
          </w14:textFill>
        </w:rPr>
        <w:t>亿元，同比</w:t>
      </w:r>
      <w:r>
        <w:rPr>
          <w:rFonts w:ascii="仿宋" w:eastAsia="仿宋" w:cs="仿宋" w:hint="eastAsia"/>
          <w:b w:val="0"/>
          <w:bCs w:val="0"/>
          <w:color w:val="000000"/>
          <w:szCs w:val="32"/>
          <w14:textFill>
            <w14:solidFill>
              <w14:srgbClr w14:val="000000"/>
            </w14:solidFill>
          </w14:textFill>
          <w:lang w:eastAsia="zh-CN"/>
        </w:rPr>
        <w:t>增长</w:t>
      </w:r>
      <w:r>
        <w:rPr>
          <w:rFonts w:ascii="仿宋" w:eastAsia="仿宋" w:cs="仿宋" w:hint="eastAsia"/>
          <w:b w:val="0"/>
          <w:bCs w:val="0"/>
          <w:color w:val="000000"/>
          <w:szCs w:val="32"/>
          <w14:textFill>
            <w14:solidFill>
              <w14:srgbClr w14:val="000000"/>
            </w14:solidFill>
          </w14:textFill>
          <w:lang w:val="en-US" w:eastAsia="zh-CN"/>
        </w:rPr>
        <w:t>16.8</w:t>
      </w:r>
      <w:r>
        <w:rPr>
          <w:rFonts w:ascii="仿宋" w:eastAsia="仿宋" w:cs="仿宋" w:hint="eastAsia"/>
          <w:b w:val="0"/>
          <w:bCs w:val="0"/>
          <w:color w:val="000000"/>
          <w:szCs w:val="32"/>
          <w14:textFill>
            <w14:solidFill>
              <w14:srgbClr w14:val="000000"/>
            </w14:solidFill>
          </w14:textFill>
        </w:rPr>
        <w:t>%，环比增长</w:t>
      </w:r>
      <w:r>
        <w:rPr>
          <w:rFonts w:ascii="仿宋" w:eastAsia="仿宋" w:cs="仿宋" w:hint="eastAsia"/>
          <w:b w:val="0"/>
          <w:bCs w:val="0"/>
          <w:color w:val="000000"/>
          <w:szCs w:val="32"/>
          <w14:textFill>
            <w14:solidFill>
              <w14:srgbClr w14:val="000000"/>
            </w14:solidFill>
          </w14:textFill>
          <w:lang w:val="en-US" w:eastAsia="zh-CN"/>
        </w:rPr>
        <w:t>16.8</w:t>
      </w:r>
      <w:r>
        <w:rPr>
          <w:rFonts w:ascii="仿宋" w:eastAsia="仿宋" w:cs="仿宋" w:hint="eastAsia"/>
          <w:b w:val="0"/>
          <w:bCs w:val="0"/>
          <w:color w:val="000000"/>
          <w:szCs w:val="32"/>
          <w14:textFill>
            <w14:solidFill>
              <w14:srgbClr w14:val="000000"/>
            </w14:solidFill>
          </w14:textFill>
        </w:rPr>
        <w:t>%，当年增速较上年同期</w:t>
      </w:r>
      <w:r>
        <w:rPr>
          <w:rFonts w:ascii="仿宋" w:eastAsia="仿宋" w:cs="仿宋" w:hint="eastAsia"/>
          <w:b w:val="0"/>
          <w:bCs w:val="0"/>
          <w:color w:val="000000"/>
          <w:szCs w:val="32"/>
          <w14:textFill>
            <w14:solidFill>
              <w14:srgbClr w14:val="000000"/>
            </w14:solidFill>
          </w14:textFill>
          <w:lang w:eastAsia="zh-CN"/>
        </w:rPr>
        <w:t>提升</w:t>
      </w:r>
      <w:r>
        <w:rPr>
          <w:rFonts w:ascii="仿宋" w:eastAsia="仿宋" w:cs="仿宋" w:hint="eastAsia"/>
          <w:b w:val="0"/>
          <w:bCs w:val="0"/>
          <w:color w:val="000000"/>
          <w:szCs w:val="32"/>
          <w14:textFill>
            <w14:solidFill>
              <w14:srgbClr w14:val="000000"/>
            </w14:solidFill>
          </w14:textFill>
          <w:lang w:val="en-US" w:eastAsia="zh-CN"/>
        </w:rPr>
        <w:t>22.4</w:t>
      </w:r>
      <w:r>
        <w:rPr>
          <w:rFonts w:ascii="仿宋" w:eastAsia="仿宋" w:cs="仿宋" w:hint="eastAsia"/>
          <w:b w:val="0"/>
          <w:bCs w:val="0"/>
          <w:color w:val="000000"/>
          <w:szCs w:val="32"/>
          <w14:textFill>
            <w14:solidFill>
              <w14:srgbClr w14:val="000000"/>
            </w14:solidFill>
          </w14:textFill>
        </w:rPr>
        <w:t>个百分点；房地产开发投资完成</w:t>
      </w:r>
      <w:r>
        <w:rPr>
          <w:rFonts w:ascii="仿宋" w:eastAsia="仿宋" w:cs="仿宋" w:hint="eastAsia"/>
          <w:b w:val="0"/>
          <w:bCs w:val="0"/>
          <w:color w:val="000000"/>
          <w:szCs w:val="32"/>
          <w14:textFill>
            <w14:solidFill>
              <w14:srgbClr w14:val="000000"/>
            </w14:solidFill>
          </w14:textFill>
          <w:lang w:val="en-US" w:eastAsia="zh-CN"/>
        </w:rPr>
        <w:t>21.5</w:t>
      </w:r>
      <w:r>
        <w:rPr>
          <w:rFonts w:ascii="仿宋" w:eastAsia="仿宋" w:cs="仿宋" w:hint="eastAsia"/>
          <w:b w:val="0"/>
          <w:bCs w:val="0"/>
          <w:color w:val="000000"/>
          <w:szCs w:val="32"/>
          <w14:textFill>
            <w14:solidFill>
              <w14:srgbClr w14:val="000000"/>
            </w14:solidFill>
          </w14:textFill>
        </w:rPr>
        <w:t>亿元，同比</w:t>
      </w:r>
      <w:r>
        <w:rPr>
          <w:rFonts w:ascii="仿宋" w:eastAsia="仿宋" w:cs="仿宋" w:hint="eastAsia"/>
          <w:b w:val="0"/>
          <w:bCs w:val="0"/>
          <w:color w:val="000000"/>
          <w:szCs w:val="32"/>
          <w14:textFill>
            <w14:solidFill>
              <w14:srgbClr w14:val="000000"/>
            </w14:solidFill>
          </w14:textFill>
          <w:lang w:eastAsia="zh-CN"/>
        </w:rPr>
        <w:t>下降</w:t>
      </w:r>
      <w:r>
        <w:rPr>
          <w:rFonts w:ascii="仿宋" w:eastAsia="仿宋" w:cs="仿宋" w:hint="eastAsia"/>
          <w:b w:val="0"/>
          <w:bCs w:val="0"/>
          <w:color w:val="000000"/>
          <w:szCs w:val="32"/>
          <w14:textFill>
            <w14:solidFill>
              <w14:srgbClr w14:val="000000"/>
            </w14:solidFill>
          </w14:textFill>
          <w:lang w:val="en-US" w:eastAsia="zh-CN"/>
        </w:rPr>
        <w:t>50.4</w:t>
      </w:r>
      <w:r>
        <w:rPr>
          <w:rFonts w:ascii="仿宋" w:eastAsia="仿宋" w:cs="仿宋" w:hint="eastAsia"/>
          <w:b w:val="0"/>
          <w:bCs w:val="0"/>
          <w:color w:val="000000"/>
          <w:szCs w:val="32"/>
          <w14:textFill>
            <w14:solidFill>
              <w14:srgbClr w14:val="000000"/>
            </w14:solidFill>
          </w14:textFill>
        </w:rPr>
        <w:t>%，环比</w:t>
      </w:r>
      <w:r>
        <w:rPr>
          <w:rFonts w:ascii="仿宋" w:eastAsia="仿宋" w:cs="仿宋" w:hint="eastAsia"/>
          <w:b w:val="0"/>
          <w:bCs w:val="0"/>
          <w:color w:val="000000"/>
          <w:szCs w:val="32"/>
          <w14:textFill>
            <w14:solidFill>
              <w14:srgbClr w14:val="000000"/>
            </w14:solidFill>
          </w14:textFill>
          <w:lang w:eastAsia="zh-CN"/>
        </w:rPr>
        <w:t>下降</w:t>
      </w:r>
      <w:r>
        <w:rPr>
          <w:rFonts w:ascii="仿宋" w:eastAsia="仿宋" w:cs="仿宋" w:hint="eastAsia"/>
          <w:b w:val="0"/>
          <w:bCs w:val="0"/>
          <w:color w:val="000000"/>
          <w:szCs w:val="32"/>
          <w14:textFill>
            <w14:solidFill>
              <w14:srgbClr w14:val="000000"/>
            </w14:solidFill>
          </w14:textFill>
          <w:lang w:val="en-US" w:eastAsia="zh-CN"/>
        </w:rPr>
        <w:t>50.4</w:t>
      </w:r>
      <w:r>
        <w:rPr>
          <w:rFonts w:ascii="仿宋" w:eastAsia="仿宋" w:cs="仿宋" w:hint="eastAsia"/>
          <w:b w:val="0"/>
          <w:bCs w:val="0"/>
          <w:color w:val="000000"/>
          <w:szCs w:val="32"/>
          <w14:textFill>
            <w14:solidFill>
              <w14:srgbClr w14:val="000000"/>
            </w14:solidFill>
          </w14:textFill>
        </w:rPr>
        <w:t>%，当年增速较上年同期</w:t>
      </w:r>
      <w:r>
        <w:rPr>
          <w:rFonts w:ascii="仿宋" w:eastAsia="仿宋" w:cs="仿宋" w:hint="eastAsia"/>
          <w:b w:val="0"/>
          <w:bCs w:val="0"/>
          <w:color w:val="000000"/>
          <w:szCs w:val="32"/>
          <w14:textFill>
            <w14:solidFill>
              <w14:srgbClr w14:val="000000"/>
            </w14:solidFill>
          </w14:textFill>
          <w:lang w:eastAsia="zh-CN"/>
        </w:rPr>
        <w:t>下降</w:t>
      </w:r>
      <w:r>
        <w:rPr>
          <w:rFonts w:ascii="仿宋" w:eastAsia="仿宋" w:cs="仿宋" w:hint="eastAsia"/>
          <w:b w:val="0"/>
          <w:bCs w:val="0"/>
          <w:color w:val="000000"/>
          <w:szCs w:val="32"/>
          <w14:textFill>
            <w14:solidFill>
              <w14:srgbClr w14:val="000000"/>
            </w14:solidFill>
          </w14:textFill>
          <w:lang w:val="en-US" w:eastAsia="zh-CN"/>
        </w:rPr>
        <w:t>203.3</w:t>
      </w:r>
      <w:r>
        <w:rPr>
          <w:rFonts w:ascii="仿宋" w:eastAsia="仿宋" w:cs="仿宋" w:hint="eastAsia"/>
          <w:b w:val="0"/>
          <w:bCs w:val="0"/>
          <w:color w:val="000000"/>
          <w:szCs w:val="32"/>
          <w14:textFill>
            <w14:solidFill>
              <w14:srgbClr w14:val="000000"/>
            </w14:solidFill>
          </w14:textFill>
        </w:rPr>
        <w:t>个百分点。工业完成投资</w:t>
      </w:r>
      <w:r>
        <w:rPr>
          <w:rFonts w:ascii="仿宋" w:eastAsia="仿宋" w:cs="仿宋" w:hint="eastAsia"/>
          <w:b w:val="0"/>
          <w:bCs w:val="0"/>
          <w:color w:val="000000"/>
          <w:szCs w:val="32"/>
          <w14:textFill>
            <w14:solidFill>
              <w14:srgbClr w14:val="000000"/>
            </w14:solidFill>
          </w14:textFill>
          <w:lang w:val="en-US" w:eastAsia="zh-CN"/>
        </w:rPr>
        <w:t>24.9</w:t>
      </w:r>
      <w:r>
        <w:rPr>
          <w:rFonts w:ascii="仿宋" w:eastAsia="仿宋" w:cs="仿宋" w:hint="eastAsia"/>
          <w:b w:val="0"/>
          <w:bCs w:val="0"/>
          <w:color w:val="000000"/>
          <w:szCs w:val="32"/>
          <w14:textFill>
            <w14:solidFill>
              <w14:srgbClr w14:val="000000"/>
            </w14:solidFill>
          </w14:textFill>
        </w:rPr>
        <w:t>亿元，同比增长</w:t>
      </w:r>
      <w:r>
        <w:rPr>
          <w:rFonts w:ascii="仿宋" w:eastAsia="仿宋" w:cs="仿宋" w:hint="eastAsia"/>
          <w:b w:val="0"/>
          <w:bCs w:val="0"/>
          <w:color w:val="000000"/>
          <w:szCs w:val="32"/>
          <w14:textFill>
            <w14:solidFill>
              <w14:srgbClr w14:val="000000"/>
            </w14:solidFill>
          </w14:textFill>
          <w:lang w:val="en-US" w:eastAsia="zh-CN"/>
        </w:rPr>
        <w:t>129.1</w:t>
      </w:r>
      <w:r>
        <w:rPr>
          <w:rFonts w:ascii="仿宋" w:eastAsia="仿宋" w:cs="仿宋" w:hint="eastAsia"/>
          <w:b w:val="0"/>
          <w:bCs w:val="0"/>
          <w:color w:val="000000"/>
          <w:szCs w:val="32"/>
          <w14:textFill>
            <w14:solidFill>
              <w14:srgbClr w14:val="000000"/>
            </w14:solidFill>
          </w14:textFill>
        </w:rPr>
        <w:t>%，当年增速较上年同期</w:t>
      </w:r>
      <w:r>
        <w:rPr>
          <w:rFonts w:ascii="仿宋" w:eastAsia="仿宋" w:cs="仿宋" w:hint="eastAsia"/>
          <w:b w:val="0"/>
          <w:bCs w:val="0"/>
          <w:color w:val="000000"/>
          <w:szCs w:val="32"/>
          <w14:textFill>
            <w14:solidFill>
              <w14:srgbClr w14:val="000000"/>
            </w14:solidFill>
          </w14:textFill>
          <w:lang w:eastAsia="zh-CN"/>
        </w:rPr>
        <w:t>提高</w:t>
      </w:r>
      <w:r>
        <w:rPr>
          <w:rFonts w:ascii="仿宋" w:eastAsia="仿宋" w:cs="仿宋" w:hint="eastAsia"/>
          <w:b w:val="0"/>
          <w:bCs w:val="0"/>
          <w:color w:val="000000"/>
          <w:szCs w:val="32"/>
          <w14:textFill>
            <w14:solidFill>
              <w14:srgbClr w14:val="000000"/>
            </w14:solidFill>
          </w14:textFill>
          <w:lang w:val="en-US" w:eastAsia="zh-CN"/>
        </w:rPr>
        <w:t>55.8</w:t>
      </w:r>
      <w:r>
        <w:rPr>
          <w:rFonts w:ascii="仿宋" w:eastAsia="仿宋" w:cs="仿宋" w:hint="eastAsia"/>
          <w:b w:val="0"/>
          <w:bCs w:val="0"/>
          <w:color w:val="000000"/>
          <w:szCs w:val="32"/>
          <w14:textFill>
            <w14:solidFill>
              <w14:srgbClr w14:val="000000"/>
            </w14:solidFill>
          </w14:textFill>
        </w:rPr>
        <w:t>个百分点，完成投资占全部投资额的</w:t>
      </w:r>
      <w:r>
        <w:rPr>
          <w:rFonts w:ascii="仿宋" w:eastAsia="仿宋" w:cs="仿宋" w:hint="eastAsia"/>
          <w:b w:val="0"/>
          <w:bCs w:val="0"/>
          <w:color w:val="000000"/>
          <w:szCs w:val="32"/>
          <w14:textFill>
            <w14:solidFill>
              <w14:srgbClr w14:val="000000"/>
            </w14:solidFill>
          </w14:textFill>
          <w:lang w:val="en-US" w:eastAsia="zh-CN"/>
        </w:rPr>
        <w:t>20.6</w:t>
      </w:r>
      <w:r>
        <w:rPr>
          <w:rFonts w:ascii="仿宋" w:eastAsia="仿宋" w:cs="仿宋" w:hint="eastAsia"/>
          <w:b w:val="0"/>
          <w:bCs w:val="0"/>
          <w:color w:val="000000"/>
          <w:szCs w:val="32"/>
          <w14:textFill>
            <w14:solidFill>
              <w14:srgbClr w14:val="000000"/>
            </w14:solidFill>
          </w14:textFill>
        </w:rPr>
        <w:t>%，工业投资进一步优化，总量高于去年同期，增加</w:t>
      </w:r>
      <w:r>
        <w:rPr>
          <w:rFonts w:ascii="仿宋" w:eastAsia="仿宋" w:cs="仿宋" w:hint="eastAsia"/>
          <w:b w:val="0"/>
          <w:bCs w:val="0"/>
          <w:color w:val="000000"/>
          <w:szCs w:val="32"/>
          <w14:textFill>
            <w14:solidFill>
              <w14:srgbClr w14:val="000000"/>
            </w14:solidFill>
          </w14:textFill>
          <w:lang w:val="en-US" w:eastAsia="zh-CN"/>
        </w:rPr>
        <w:t>14</w:t>
      </w:r>
      <w:r>
        <w:rPr>
          <w:rFonts w:ascii="仿宋" w:eastAsia="仿宋" w:cs="仿宋" w:hint="eastAsia"/>
          <w:b w:val="0"/>
          <w:bCs w:val="0"/>
          <w:color w:val="000000"/>
          <w:szCs w:val="32"/>
          <w14:textFill>
            <w14:solidFill>
              <w14:srgbClr w14:val="000000"/>
            </w14:solidFill>
          </w14:textFill>
        </w:rPr>
        <w:t>亿元。</w:t>
      </w:r>
      <w:r>
        <w:rPr>
          <w:rFonts w:ascii="仿宋" w:eastAsia="仿宋" w:cs="仿宋" w:hint="eastAsia"/>
          <w:b w:val="0"/>
          <w:bCs w:val="0"/>
          <w:color w:val="000000"/>
          <w:szCs w:val="32"/>
          <w14:textFill>
            <w14:solidFill>
              <w14:srgbClr w14:val="000000"/>
            </w14:solidFill>
          </w14:textFill>
          <w:lang w:eastAsia="zh-CN"/>
        </w:rPr>
        <w:t>投资</w:t>
      </w:r>
      <w:r>
        <w:rPr>
          <w:rFonts w:ascii="仿宋" w:eastAsia="仿宋" w:cs="仿宋" w:hint="eastAsia"/>
          <w:b w:val="0"/>
          <w:bCs w:val="0"/>
          <w:color w:val="000000"/>
          <w:szCs w:val="32"/>
          <w14:textFill>
            <w14:solidFill>
              <w14:srgbClr w14:val="000000"/>
            </w14:solidFill>
          </w14:textFill>
        </w:rPr>
        <w:t>完成情况可见图</w:t>
      </w:r>
      <w:r>
        <w:rPr>
          <w:rFonts w:ascii="仿宋" w:eastAsia="仿宋" w:cs="仿宋" w:hint="eastAsia"/>
          <w:b w:val="0"/>
          <w:bCs w:val="0"/>
          <w:color w:val="000000"/>
          <w:szCs w:val="32"/>
          <w14:textFill>
            <w14:solidFill>
              <w14:srgbClr w14:val="000000"/>
            </w14:solidFill>
          </w14:textFill>
          <w:lang w:eastAsia="zh-CN"/>
        </w:rPr>
        <w:t>表：</w:t>
      </w:r>
      <w:r>
        <w:rPr>
          <w:rFonts w:ascii="仿宋" w:eastAsia="仿宋" w:cs="仿宋" w:hint="eastAsia"/>
          <w:b w:val="0"/>
          <w:bCs w:val="0"/>
          <w:color w:val="000000"/>
          <w:szCs w:val="32"/>
          <w14:textFill>
            <w14:solidFill>
              <w14:srgbClr w14:val="000000"/>
            </w14:solidFill>
          </w14:textFill>
          <w:lang w:val="en-US" w:eastAsia="zh-CN"/>
        </w:rPr>
        <w:t xml:space="preserve">                                                                                                                                                                                                                                                                                                                                                                                                                                                                        </w:t>
      </w:r>
    </w:p>
    <w:p>
      <w:pPr>
        <w:ind w:firstLineChars="0" w:firstLine="0"/>
      </w:pPr>
      <w:r>
        <w:drawing>
          <wp:anchor distT="0" distB="0" distL="114300" distR="114300" simplePos="0" relativeHeight="21" behindDoc="0" locked="0" layoutInCell="1" hidden="0" allowOverlap="1">
            <wp:simplePos x="0" y="0"/>
            <wp:positionH relativeFrom="column">
              <wp:posOffset>4445</wp:posOffset>
            </wp:positionH>
            <wp:positionV relativeFrom="paragraph">
              <wp:posOffset>6350</wp:posOffset>
            </wp:positionV>
            <wp:extent cx="5264150" cy="3319779"/>
            <wp:effectExtent l="0" t="0" r="47" b="14"/>
            <wp:wrapSquare wrapText="bothSides"/>
            <wp:docPr id="3" name="图表 2"/>
            <wp:cNvGraphicFramePr>
              <a:graphicFrameLocks noChangeAspect="0"/>
            </wp:cNvGraphicFramePr>
            <a:graphic>
              <a:graphicData uri="http://schemas.openxmlformats.org/drawingml/2006/chart">
                <c:chart xmlns:c="http://schemas.openxmlformats.org/drawingml/2006/chart" r:id="rId5"/>
              </a:graphicData>
            </a:graphic>
          </wp:anchor>
        </w:drawing>
      </w:r>
    </w:p>
    <w:p>
      <w:pPr>
        <w:ind w:firstLineChars="200" w:firstLine="640"/>
        <w:rPr>
          <w:rFonts w:ascii="仿宋" w:eastAsia="仿宋"/>
          <w:color w:val="FF0000"/>
          <w:spacing w:val="8"/>
          <w:szCs w:val="32"/>
        </w:rPr>
      </w:pPr>
      <w:r>
        <w:rPr>
          <w:rFonts w:ascii="仿宋" w:eastAsia="仿宋" w:cs="仿宋" w:hint="eastAsia"/>
          <w:color w:val="000000"/>
          <w:szCs w:val="32"/>
          <w14:textFill>
            <w14:solidFill>
              <w14:srgbClr w14:val="000000"/>
            </w14:solidFill>
          </w14:textFill>
        </w:rPr>
        <w:t>三</w:t>
      </w:r>
      <w:r>
        <w:rPr>
          <w:rFonts w:ascii="仿宋" w:eastAsia="仿宋" w:cs="仿宋" w:hint="eastAsia"/>
          <w:color w:val="000000"/>
          <w:szCs w:val="32"/>
          <w14:textFill>
            <w14:solidFill>
              <w14:srgbClr w14:val="000000"/>
            </w14:solidFill>
          </w14:textFill>
          <w:lang w:eastAsia="zh-CN"/>
        </w:rPr>
        <w:t>大</w:t>
      </w:r>
      <w:r>
        <w:rPr>
          <w:rFonts w:ascii="仿宋" w:eastAsia="仿宋" w:cs="仿宋" w:hint="eastAsia"/>
          <w:color w:val="000000"/>
          <w:szCs w:val="32"/>
          <w14:textFill>
            <w14:solidFill>
              <w14:srgbClr w14:val="000000"/>
            </w14:solidFill>
          </w14:textFill>
        </w:rPr>
        <w:t>产业投资差异明显。</w:t>
      </w:r>
      <w:r>
        <w:rPr>
          <w:rFonts w:ascii="仿宋" w:eastAsia="仿宋" w:hint="eastAsia"/>
          <w:color w:val="000000"/>
          <w:sz w:val="32"/>
          <w:szCs w:val="32"/>
          <w14:textFill>
            <w14:solidFill>
              <w14:srgbClr w14:val="000000"/>
            </w14:solidFill>
          </w14:textFill>
        </w:rPr>
        <w:t>由于朝阳区第一产业占比较小的特点，1-12月份，</w:t>
      </w:r>
      <w:r>
        <w:rPr>
          <w:rFonts w:ascii="仿宋" w:eastAsia="仿宋" w:hint="eastAsia"/>
          <w:color w:val="000000"/>
          <w:spacing w:val="8"/>
          <w:sz w:val="32"/>
          <w:szCs w:val="32"/>
          <w14:textFill>
            <w14:solidFill>
              <w14:srgbClr w14:val="000000"/>
            </w14:solidFill>
          </w14:textFill>
        </w:rPr>
        <w:t>第一产业投资为0；第二产业投资24.9亿元，同比增长</w:t>
      </w:r>
      <w:r>
        <w:rPr>
          <w:rFonts w:ascii="仿宋" w:eastAsia="仿宋" w:cs="仿宋" w:hint="eastAsia"/>
          <w:bCs/>
          <w:color w:val="000000"/>
          <w:sz w:val="32"/>
          <w:szCs w:val="32"/>
          <w14:textFill>
            <w14:solidFill>
              <w14:srgbClr w14:val="000000"/>
            </w14:solidFill>
          </w14:textFill>
        </w:rPr>
        <w:t>129</w:t>
      </w:r>
      <w:r>
        <w:rPr>
          <w:rFonts w:ascii="仿宋" w:eastAsia="仿宋" w:hint="eastAsia"/>
          <w:color w:val="000000"/>
          <w:spacing w:val="8"/>
          <w:sz w:val="32"/>
          <w:szCs w:val="32"/>
          <w14:textFill>
            <w14:solidFill>
              <w14:srgbClr w14:val="000000"/>
            </w14:solidFill>
          </w14:textFill>
        </w:rPr>
        <w:t>.1%</w:t>
      </w:r>
      <w:r>
        <w:rPr>
          <w:rFonts w:ascii="仿宋" w:eastAsia="仿宋" w:cs="仿宋" w:hint="eastAsia"/>
          <w:color w:val="000000"/>
          <w:sz w:val="32"/>
          <w:szCs w:val="32"/>
          <w14:textFill>
            <w14:solidFill>
              <w14:srgbClr w14:val="000000"/>
            </w14:solidFill>
          </w14:textFill>
        </w:rPr>
        <w:t>，增速较上年同期提高55.8个百分点，占投资总额的20</w:t>
      </w:r>
      <w:r>
        <w:rPr>
          <w:rFonts w:ascii="仿宋" w:eastAsia="仿宋" w:cs="仿宋" w:hint="eastAsia"/>
          <w:bCs/>
          <w:color w:val="000000"/>
          <w:sz w:val="32"/>
          <w:szCs w:val="32"/>
          <w14:textFill>
            <w14:solidFill>
              <w14:srgbClr w14:val="000000"/>
            </w14:solidFill>
          </w14:textFill>
        </w:rPr>
        <w:t>.6</w:t>
      </w:r>
      <w:r>
        <w:rPr>
          <w:rFonts w:ascii="仿宋" w:eastAsia="仿宋" w:cs="仿宋" w:hint="eastAsia"/>
          <w:color w:val="000000"/>
          <w:sz w:val="32"/>
          <w:szCs w:val="32"/>
          <w14:textFill>
            <w14:solidFill>
              <w14:srgbClr w14:val="000000"/>
            </w14:solidFill>
          </w14:textFill>
        </w:rPr>
        <w:t>%；</w:t>
      </w:r>
      <w:r>
        <w:rPr>
          <w:rFonts w:ascii="仿宋" w:eastAsia="仿宋" w:hint="eastAsia"/>
          <w:color w:val="000000"/>
          <w:spacing w:val="8"/>
          <w:sz w:val="32"/>
          <w:szCs w:val="32"/>
          <w14:textFill>
            <w14:solidFill>
              <w14:srgbClr w14:val="000000"/>
            </w14:solidFill>
          </w14:textFill>
        </w:rPr>
        <w:t>第三产业投资95.8亿元，同比下降18.5%</w:t>
      </w:r>
      <w:r>
        <w:rPr>
          <w:rFonts w:ascii="仿宋" w:eastAsia="仿宋" w:cs="仿宋" w:hint="eastAsia"/>
          <w:color w:val="000000"/>
          <w:sz w:val="32"/>
          <w:szCs w:val="32"/>
          <w14:textFill>
            <w14:solidFill>
              <w14:srgbClr w14:val="000000"/>
            </w14:solidFill>
          </w14:textFill>
        </w:rPr>
        <w:t>，增速较上年同期回落35个百分点，</w:t>
      </w:r>
      <w:r>
        <w:rPr>
          <w:rFonts w:ascii="仿宋" w:eastAsia="仿宋" w:hint="eastAsia"/>
          <w:color w:val="000000"/>
          <w:spacing w:val="8"/>
          <w:sz w:val="32"/>
          <w:szCs w:val="32"/>
          <w14:textFill>
            <w14:solidFill>
              <w14:srgbClr w14:val="000000"/>
            </w14:solidFill>
          </w14:textFill>
        </w:rPr>
        <w:t>占</w:t>
      </w:r>
      <w:r>
        <w:rPr>
          <w:rFonts w:ascii="仿宋" w:eastAsia="仿宋" w:cs="仿宋" w:hint="eastAsia"/>
          <w:color w:val="000000"/>
          <w:sz w:val="32"/>
          <w:szCs w:val="32"/>
          <w14:textFill>
            <w14:solidFill>
              <w14:srgbClr w14:val="000000"/>
            </w14:solidFill>
          </w14:textFill>
        </w:rPr>
        <w:t>投资总额的79</w:t>
      </w:r>
      <w:r>
        <w:rPr>
          <w:rFonts w:ascii="仿宋" w:eastAsia="仿宋" w:hint="eastAsia"/>
          <w:color w:val="000000"/>
          <w:spacing w:val="8"/>
          <w:sz w:val="32"/>
          <w:szCs w:val="32"/>
          <w14:textFill>
            <w14:solidFill>
              <w14:srgbClr w14:val="000000"/>
            </w14:solidFill>
          </w14:textFill>
        </w:rPr>
        <w:t>.4%。</w:t>
      </w:r>
      <w:r>
        <w:rPr>
          <w:rFonts w:ascii="仿宋" w:eastAsia="仿宋" w:cs="仿宋" w:hint="eastAsia"/>
          <w:color w:val="000000"/>
          <w:sz w:val="32"/>
          <w:szCs w:val="32"/>
          <w14:textFill>
            <w14:solidFill>
              <w14:srgbClr w14:val="000000"/>
            </w14:solidFill>
          </w14:textFill>
        </w:rPr>
        <w:t>从中可以看出，投资结构明显失衡，在全部投资中主要以第三产业为主，所占比重较大，</w:t>
      </w:r>
      <w:r>
        <w:rPr>
          <w:rFonts w:ascii="仿宋" w:eastAsia="仿宋" w:hint="eastAsia"/>
          <w:color w:val="000000"/>
          <w:spacing w:val="8"/>
          <w:sz w:val="32"/>
          <w:szCs w:val="32"/>
          <w14:textFill>
            <w14:solidFill>
              <w14:srgbClr w14:val="000000"/>
            </w14:solidFill>
          </w14:textFill>
        </w:rPr>
        <w:t>三次产业投资差距明显，需要重视。</w:t>
      </w:r>
    </w:p>
    <w:tbl>
      <w:tblPr>
        <w:tblpPr w:leftFromText="180" w:rightFromText="180" w:vertAnchor="text" w:horzAnchor="page" w:tblpX="2285" w:tblpY="361"/>
        <w:tblOverlap w:val="never"/>
        <w:tblW w:w="754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513"/>
        <w:gridCol w:w="2513"/>
        <w:gridCol w:w="2514"/>
      </w:tblGrid>
      <w:tr>
        <w:trPr>
          <w:trHeight w:val="476"/>
        </w:trPr>
        <w:tc>
          <w:tcPr>
            <w:tcW w:w="7540" w:type="dxa"/>
            <w:gridSpan w:val="3"/>
            <w:tcBorders>
              <w:top w:val="nil"/>
              <w:left w:val="nil"/>
              <w:bottom w:val="nil"/>
              <w:right w:val="nil"/>
            </w:tcBorders>
            <w:noWrap/>
            <w:vAlign w:val="bottom"/>
          </w:tcPr>
          <w:p>
            <w:pPr>
              <w:spacing w:line="440" w:lineRule="exact"/>
              <w:jc w:val="center"/>
              <w:rPr>
                <w:rFonts w:ascii="仿宋" w:eastAsia="仿宋" w:cs="Arial"/>
                <w:b/>
                <w:bCs/>
                <w:color w:val="000000"/>
                <w:szCs w:val="32"/>
                <w14:textFill>
                  <w14:solidFill>
                    <w14:srgbClr w14:val="000000"/>
                  </w14:solidFill>
                </w14:textFill>
              </w:rPr>
            </w:pPr>
            <w:r>
              <w:rPr>
                <w:rFonts w:ascii="宋体" w:eastAsia="宋体" w:cs="宋体" w:hint="eastAsia"/>
                <w:b/>
                <w:bCs/>
                <w:color w:val="000000"/>
                <w:sz w:val="28"/>
                <w:szCs w:val="28"/>
                <w14:textFill>
                  <w14:solidFill>
                    <w14:srgbClr w14:val="000000"/>
                  </w14:solidFill>
                </w14:textFill>
                <w:lang w:eastAsia="zh-CN"/>
              </w:rPr>
              <w:t>1-12月份固定资产投资产业构成情况</w:t>
            </w:r>
          </w:p>
        </w:tc>
      </w:tr>
      <w:tr>
        <w:trPr>
          <w:trHeight w:val="487"/>
        </w:trPr>
        <w:tc>
          <w:tcPr>
            <w:tcW w:w="2513" w:type="dxa"/>
            <w:tcBorders>
              <w:top w:val="single" w:sz="4" w:space="0" w:color="auto"/>
              <w:left w:val="nil"/>
              <w:bottom w:val="single" w:sz="4" w:space="0" w:color="auto"/>
              <w:right w:val="single" w:sz="4" w:space="0" w:color="auto"/>
            </w:tcBorders>
            <w:vAlign w:val="bottom"/>
          </w:tcPr>
          <w:p>
            <w:pPr>
              <w:spacing w:line="440" w:lineRule="exact"/>
              <w:jc w:val="center"/>
              <w:rPr>
                <w:rFonts w:ascii="仿宋" w:eastAsia="仿宋" w:cs="Arial" w:hint="eastAsia"/>
                <w:b/>
                <w:bCs/>
                <w:color w:val="000000"/>
                <w:sz w:val="28"/>
                <w:szCs w:val="28"/>
                <w14:textFill>
                  <w14:solidFill>
                    <w14:srgbClr w14:val="000000"/>
                  </w14:solidFill>
                </w14:textFill>
                <w:lang w:val="en-US" w:eastAsia="zh-CN"/>
              </w:rPr>
            </w:pPr>
            <w:r>
              <w:rPr>
                <w:rFonts w:ascii="仿宋" w:eastAsia="仿宋" w:cs="Arial" w:hint="eastAsia"/>
                <w:b/>
                <w:bCs/>
                <w:color w:val="000000"/>
                <w:sz w:val="28"/>
                <w:szCs w:val="28"/>
                <w14:textFill>
                  <w14:solidFill>
                    <w14:srgbClr w14:val="000000"/>
                  </w14:solidFill>
                </w14:textFill>
                <w:lang w:val="en-US" w:eastAsia="zh-CN"/>
              </w:rPr>
              <w:t>分 类</w:t>
            </w:r>
          </w:p>
        </w:tc>
        <w:tc>
          <w:tcPr>
            <w:tcW w:w="2513" w:type="dxa"/>
            <w:tcBorders>
              <w:top w:val="single" w:sz="4" w:space="0" w:color="auto"/>
              <w:left w:val="nil"/>
              <w:bottom w:val="single" w:sz="4" w:space="0" w:color="auto"/>
              <w:right w:val="single" w:sz="4" w:space="0" w:color="auto"/>
            </w:tcBorders>
            <w:vAlign w:val="bottom"/>
          </w:tcPr>
          <w:p>
            <w:pPr>
              <w:spacing w:line="440" w:lineRule="exact"/>
              <w:jc w:val="center"/>
              <w:rPr>
                <w:rFonts w:ascii="仿宋" w:eastAsia="仿宋" w:cs="Arial" w:hint="eastAsia"/>
                <w:b/>
                <w:bCs/>
                <w:color w:val="000000"/>
                <w:sz w:val="28"/>
                <w:szCs w:val="28"/>
                <w14:textFill>
                  <w14:solidFill>
                    <w14:srgbClr w14:val="000000"/>
                  </w14:solidFill>
                </w14:textFill>
                <w:lang w:val="en-US" w:eastAsia="zh-CN"/>
              </w:rPr>
            </w:pPr>
            <w:r>
              <w:rPr>
                <w:rFonts w:ascii="仿宋" w:eastAsia="仿宋" w:cs="Arial" w:hint="eastAsia"/>
                <w:b/>
                <w:bCs/>
                <w:color w:val="000000"/>
                <w:sz w:val="28"/>
                <w:szCs w:val="28"/>
                <w14:textFill>
                  <w14:solidFill>
                    <w14:srgbClr w14:val="000000"/>
                  </w14:solidFill>
                </w14:textFill>
                <w:lang w:val="en-US" w:eastAsia="zh-CN"/>
              </w:rPr>
              <w:t>投资额（亿元）</w:t>
            </w:r>
          </w:p>
        </w:tc>
        <w:tc>
          <w:tcPr>
            <w:tcW w:w="2514" w:type="dxa"/>
            <w:tcBorders>
              <w:top w:val="single" w:sz="4" w:space="0" w:color="auto"/>
              <w:left w:val="nil"/>
              <w:bottom w:val="single" w:sz="4" w:space="0" w:color="auto"/>
              <w:right w:val="nil"/>
            </w:tcBorders>
            <w:vAlign w:val="bottom"/>
          </w:tcPr>
          <w:p>
            <w:pPr>
              <w:spacing w:line="440" w:lineRule="exact"/>
              <w:jc w:val="center"/>
              <w:rPr>
                <w:rFonts w:ascii="仿宋" w:eastAsia="仿宋" w:cs="Arial" w:hint="eastAsia"/>
                <w:b/>
                <w:bCs/>
                <w:color w:val="000000"/>
                <w:sz w:val="28"/>
                <w:szCs w:val="28"/>
                <w14:textFill>
                  <w14:solidFill>
                    <w14:srgbClr w14:val="000000"/>
                  </w14:solidFill>
                </w14:textFill>
                <w:lang w:val="en-US" w:eastAsia="zh-CN"/>
              </w:rPr>
            </w:pPr>
            <w:r>
              <w:rPr>
                <w:rFonts w:ascii="仿宋" w:eastAsia="仿宋" w:cs="Arial" w:hint="eastAsia"/>
                <w:b/>
                <w:bCs/>
                <w:color w:val="000000"/>
                <w:sz w:val="28"/>
                <w:szCs w:val="28"/>
                <w14:textFill>
                  <w14:solidFill>
                    <w14:srgbClr w14:val="000000"/>
                  </w14:solidFill>
                </w14:textFill>
              </w:rPr>
              <w:t>占比 (%)</w:t>
            </w:r>
          </w:p>
        </w:tc>
      </w:tr>
      <w:tr>
        <w:trPr>
          <w:trHeight w:val="487"/>
        </w:trPr>
        <w:tc>
          <w:tcPr>
            <w:tcW w:w="2513" w:type="dxa"/>
            <w:tcBorders>
              <w:top w:val="nil"/>
              <w:left w:val="nil"/>
              <w:bottom w:val="single" w:sz="4" w:space="0" w:color="auto"/>
              <w:right w:val="single" w:sz="4" w:space="0" w:color="auto"/>
            </w:tcBorders>
            <w:vAlign w:val="bottom"/>
          </w:tcPr>
          <w:p>
            <w:pPr>
              <w:spacing w:line="440" w:lineRule="exact"/>
              <w:jc w:val="center"/>
              <w:rPr>
                <w:rFonts w:ascii="仿宋" w:eastAsia="仿宋" w:cs="Arial" w:hint="eastAsia"/>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lang w:val="en-US" w:eastAsia="zh-CN"/>
              </w:rPr>
              <w:t>总 投 资</w:t>
            </w:r>
          </w:p>
        </w:tc>
        <w:tc>
          <w:tcPr>
            <w:tcW w:w="2513" w:type="dxa"/>
            <w:tcBorders>
              <w:top w:val="nil"/>
              <w:left w:val="nil"/>
              <w:bottom w:val="single" w:sz="4" w:space="0" w:color="auto"/>
              <w:right w:val="single" w:sz="4" w:space="0" w:color="auto"/>
            </w:tcBorders>
            <w:vAlign w:val="bottom"/>
          </w:tcPr>
          <w:p>
            <w:pPr>
              <w:spacing w:line="440" w:lineRule="exact"/>
              <w:jc w:val="center"/>
              <w:rPr>
                <w:rFonts w:ascii="仿宋" w:eastAsia="仿宋" w:cs="Arial"/>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lang w:val="en-US" w:eastAsia="zh-CN"/>
              </w:rPr>
              <w:t>120．7</w:t>
            </w:r>
          </w:p>
        </w:tc>
        <w:tc>
          <w:tcPr>
            <w:tcW w:w="2514" w:type="dxa"/>
            <w:tcBorders>
              <w:top w:val="nil"/>
              <w:left w:val="nil"/>
              <w:bottom w:val="single" w:sz="4" w:space="0" w:color="auto"/>
              <w:right w:val="nil"/>
            </w:tcBorders>
            <w:vAlign w:val="bottom"/>
          </w:tcPr>
          <w:p>
            <w:pPr>
              <w:spacing w:line="440" w:lineRule="exact"/>
              <w:ind w:firstLineChars="200" w:firstLine="560"/>
              <w:jc w:val="right"/>
              <w:rPr>
                <w:rFonts w:ascii="仿宋" w:eastAsia="仿宋" w:cs="Arial"/>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rPr>
              <w:t>—　</w:t>
            </w:r>
          </w:p>
        </w:tc>
      </w:tr>
      <w:tr>
        <w:trPr>
          <w:trHeight w:val="487"/>
        </w:trPr>
        <w:tc>
          <w:tcPr>
            <w:tcW w:w="2513" w:type="dxa"/>
            <w:tcBorders>
              <w:top w:val="nil"/>
              <w:left w:val="nil"/>
              <w:bottom w:val="single" w:sz="4" w:space="0" w:color="auto"/>
              <w:right w:val="single" w:sz="4" w:space="0" w:color="auto"/>
            </w:tcBorders>
            <w:vAlign w:val="bottom"/>
          </w:tcPr>
          <w:p>
            <w:pPr>
              <w:spacing w:line="440" w:lineRule="exact"/>
              <w:jc w:val="center"/>
              <w:rPr>
                <w:rFonts w:ascii="仿宋" w:eastAsia="仿宋" w:cs="Arial" w:hint="eastAsia"/>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lang w:val="en-US" w:eastAsia="zh-CN"/>
              </w:rPr>
              <w:t>第一产业投资</w:t>
            </w:r>
          </w:p>
        </w:tc>
        <w:tc>
          <w:tcPr>
            <w:tcW w:w="2513" w:type="dxa"/>
            <w:tcBorders>
              <w:top w:val="nil"/>
              <w:left w:val="nil"/>
              <w:bottom w:val="single" w:sz="4" w:space="0" w:color="auto"/>
              <w:right w:val="single" w:sz="4" w:space="0" w:color="auto"/>
            </w:tcBorders>
            <w:vAlign w:val="bottom"/>
          </w:tcPr>
          <w:p>
            <w:pPr>
              <w:spacing w:line="440" w:lineRule="exact"/>
              <w:jc w:val="center"/>
              <w:rPr>
                <w:rFonts w:ascii="仿宋" w:eastAsia="仿宋" w:cs="Arial" w:hint="eastAsia"/>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lang w:val="en-US" w:eastAsia="zh-CN"/>
              </w:rPr>
              <w:t>0</w:t>
            </w:r>
          </w:p>
        </w:tc>
        <w:tc>
          <w:tcPr>
            <w:tcW w:w="2514" w:type="dxa"/>
            <w:tcBorders>
              <w:top w:val="nil"/>
              <w:left w:val="nil"/>
              <w:bottom w:val="single" w:sz="4" w:space="0" w:color="auto"/>
              <w:right w:val="nil"/>
            </w:tcBorders>
            <w:vAlign w:val="bottom"/>
          </w:tcPr>
          <w:p>
            <w:pPr>
              <w:spacing w:line="440" w:lineRule="exact"/>
              <w:ind w:firstLineChars="200" w:firstLine="560"/>
              <w:jc w:val="right"/>
              <w:rPr>
                <w:rFonts w:ascii="仿宋" w:eastAsia="仿宋" w:cs="Arial" w:hint="eastAsia"/>
                <w:color w:val="000000"/>
                <w:sz w:val="28"/>
                <w:szCs w:val="28"/>
                <w14:textFill>
                  <w14:solidFill>
                    <w14:srgbClr w14:val="000000"/>
                  </w14:solidFill>
                </w14:textFill>
                <w:lang w:val="en-US" w:eastAsia="zh-CN"/>
              </w:rPr>
            </w:pPr>
            <w:r>
              <w:rPr>
                <w:rFonts w:ascii="仿宋" w:eastAsia="仿宋" w:cs="宋体" w:hint="eastAsia"/>
                <w:color w:val="000000"/>
                <w:sz w:val="28"/>
                <w:szCs w:val="28"/>
                <w14:textFill>
                  <w14:solidFill>
                    <w14:srgbClr w14:val="000000"/>
                  </w14:solidFill>
                </w14:textFill>
              </w:rPr>
              <w:t>0</w:t>
            </w:r>
          </w:p>
        </w:tc>
      </w:tr>
      <w:tr>
        <w:trPr>
          <w:trHeight w:val="487"/>
        </w:trPr>
        <w:tc>
          <w:tcPr>
            <w:tcW w:w="2513" w:type="dxa"/>
            <w:tcBorders>
              <w:top w:val="nil"/>
              <w:left w:val="nil"/>
              <w:bottom w:val="single" w:sz="4" w:space="0" w:color="auto"/>
              <w:right w:val="single" w:sz="4" w:space="0" w:color="auto"/>
            </w:tcBorders>
            <w:vAlign w:val="bottom"/>
          </w:tcPr>
          <w:p>
            <w:pPr>
              <w:spacing w:line="440" w:lineRule="exact"/>
              <w:jc w:val="center"/>
              <w:rPr>
                <w:rFonts w:ascii="仿宋" w:eastAsia="仿宋" w:cs="Arial" w:hint="eastAsia"/>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lang w:val="en-US" w:eastAsia="zh-CN"/>
              </w:rPr>
              <w:t>第二产业投资</w:t>
            </w:r>
          </w:p>
        </w:tc>
        <w:tc>
          <w:tcPr>
            <w:tcW w:w="2513" w:type="dxa"/>
            <w:tcBorders>
              <w:top w:val="nil"/>
              <w:left w:val="nil"/>
              <w:bottom w:val="single" w:sz="4" w:space="0" w:color="auto"/>
              <w:right w:val="single" w:sz="4" w:space="0" w:color="auto"/>
            </w:tcBorders>
            <w:vAlign w:val="bottom"/>
          </w:tcPr>
          <w:p>
            <w:pPr>
              <w:spacing w:line="440" w:lineRule="exact"/>
              <w:jc w:val="center"/>
              <w:rPr>
                <w:rFonts w:ascii="仿宋" w:eastAsia="仿宋" w:cs="Arial" w:hint="eastAsia"/>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lang w:val="en-US" w:eastAsia="zh-CN"/>
              </w:rPr>
              <w:t>24.9</w:t>
            </w:r>
          </w:p>
        </w:tc>
        <w:tc>
          <w:tcPr>
            <w:tcW w:w="2514" w:type="dxa"/>
            <w:tcBorders>
              <w:top w:val="nil"/>
              <w:left w:val="nil"/>
              <w:bottom w:val="single" w:sz="4" w:space="0" w:color="auto"/>
              <w:right w:val="nil"/>
            </w:tcBorders>
            <w:vAlign w:val="bottom"/>
          </w:tcPr>
          <w:p>
            <w:pPr>
              <w:spacing w:line="440" w:lineRule="exact"/>
              <w:ind w:firstLineChars="200" w:firstLine="560"/>
              <w:jc w:val="right"/>
              <w:rPr>
                <w:rFonts w:ascii="仿宋" w:eastAsia="仿宋" w:cs="Arial"/>
                <w:color w:val="000000"/>
                <w:sz w:val="28"/>
                <w:szCs w:val="28"/>
                <w14:textFill>
                  <w14:solidFill>
                    <w14:srgbClr w14:val="000000"/>
                  </w14:solidFill>
                </w14:textFill>
                <w:lang w:val="en-US" w:eastAsia="zh-CN"/>
              </w:rPr>
            </w:pPr>
            <w:r>
              <w:rPr>
                <w:rFonts w:ascii="仿宋" w:eastAsia="仿宋" w:cs="宋体" w:hint="eastAsia"/>
                <w:color w:val="000000"/>
                <w:sz w:val="28"/>
                <w:szCs w:val="28"/>
                <w14:textFill>
                  <w14:solidFill>
                    <w14:srgbClr w14:val="000000"/>
                  </w14:solidFill>
                </w14:textFill>
              </w:rPr>
              <w:t>20.6</w:t>
            </w:r>
          </w:p>
        </w:tc>
      </w:tr>
      <w:tr>
        <w:trPr>
          <w:trHeight w:val="498"/>
        </w:trPr>
        <w:tc>
          <w:tcPr>
            <w:tcW w:w="2513" w:type="dxa"/>
            <w:tcBorders>
              <w:top w:val="nil"/>
              <w:left w:val="nil"/>
              <w:bottom w:val="single" w:sz="4" w:space="0" w:color="auto"/>
              <w:right w:val="single" w:sz="4" w:space="0" w:color="auto"/>
            </w:tcBorders>
            <w:vAlign w:val="bottom"/>
          </w:tcPr>
          <w:p>
            <w:pPr>
              <w:spacing w:line="440" w:lineRule="exact"/>
              <w:jc w:val="center"/>
              <w:rPr>
                <w:rFonts w:ascii="仿宋" w:eastAsia="仿宋" w:cs="Arial" w:hint="eastAsia"/>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lang w:val="en-US" w:eastAsia="zh-CN"/>
              </w:rPr>
              <w:t>第三产业投资</w:t>
            </w:r>
          </w:p>
        </w:tc>
        <w:tc>
          <w:tcPr>
            <w:tcW w:w="2513" w:type="dxa"/>
            <w:tcBorders>
              <w:top w:val="nil"/>
              <w:left w:val="nil"/>
              <w:bottom w:val="single" w:sz="4" w:space="0" w:color="auto"/>
              <w:right w:val="single" w:sz="4" w:space="0" w:color="auto"/>
            </w:tcBorders>
            <w:vAlign w:val="bottom"/>
          </w:tcPr>
          <w:p>
            <w:pPr>
              <w:spacing w:line="440" w:lineRule="exact"/>
              <w:jc w:val="center"/>
              <w:rPr>
                <w:rFonts w:ascii="仿宋" w:eastAsia="仿宋" w:cs="Arial"/>
                <w:color w:val="000000"/>
                <w:sz w:val="28"/>
                <w:szCs w:val="28"/>
                <w14:textFill>
                  <w14:solidFill>
                    <w14:srgbClr w14:val="000000"/>
                  </w14:solidFill>
                </w14:textFill>
                <w:lang w:val="en-US" w:eastAsia="zh-CN"/>
              </w:rPr>
            </w:pPr>
            <w:r>
              <w:rPr>
                <w:rFonts w:ascii="仿宋" w:eastAsia="仿宋" w:cs="Arial" w:hint="eastAsia"/>
                <w:color w:val="000000"/>
                <w:sz w:val="28"/>
                <w:szCs w:val="28"/>
                <w14:textFill>
                  <w14:solidFill>
                    <w14:srgbClr w14:val="000000"/>
                  </w14:solidFill>
                </w14:textFill>
                <w:lang w:val="en-US" w:eastAsia="zh-CN"/>
              </w:rPr>
              <w:t>95.8</w:t>
            </w:r>
          </w:p>
        </w:tc>
        <w:tc>
          <w:tcPr>
            <w:tcW w:w="2514" w:type="dxa"/>
            <w:tcBorders>
              <w:top w:val="nil"/>
              <w:left w:val="nil"/>
              <w:bottom w:val="single" w:sz="4" w:space="0" w:color="auto"/>
              <w:right w:val="nil"/>
            </w:tcBorders>
            <w:vAlign w:val="bottom"/>
          </w:tcPr>
          <w:p>
            <w:pPr>
              <w:spacing w:line="440" w:lineRule="exact"/>
              <w:ind w:firstLineChars="200" w:firstLine="560"/>
              <w:jc w:val="right"/>
              <w:rPr>
                <w:rFonts w:ascii="仿宋" w:eastAsia="仿宋" w:cs="Arial"/>
                <w:color w:val="000000"/>
                <w:sz w:val="28"/>
                <w:szCs w:val="28"/>
                <w14:textFill>
                  <w14:solidFill>
                    <w14:srgbClr w14:val="000000"/>
                  </w14:solidFill>
                </w14:textFill>
                <w:lang w:val="en-US" w:eastAsia="zh-CN"/>
              </w:rPr>
            </w:pPr>
            <w:r>
              <w:rPr>
                <w:rFonts w:ascii="仿宋" w:eastAsia="仿宋" w:cs="宋体" w:hint="eastAsia"/>
                <w:color w:val="000000"/>
                <w:sz w:val="28"/>
                <w:szCs w:val="28"/>
                <w14:textFill>
                  <w14:solidFill>
                    <w14:srgbClr w14:val="000000"/>
                  </w14:solidFill>
                </w14:textFill>
              </w:rPr>
              <w:t>79.4</w:t>
            </w:r>
          </w:p>
        </w:tc>
      </w:tr>
    </w:tbl>
    <w:p>
      <w:pPr>
        <w:ind w:left="0" w:firstLineChars="0" w:firstLine="0"/>
        <w:rPr>
          <w:rFonts w:ascii="仿宋" w:eastAsia="仿宋" w:hint="eastAsia"/>
          <w:bCs/>
          <w:color w:val="000000"/>
          <w:szCs w:val="32"/>
          <w14:textFill>
            <w14:solidFill>
              <w14:srgbClr w14:val="000000"/>
            </w14:solidFill>
          </w14:textFill>
          <w:lang w:eastAsia="zh-CN"/>
        </w:rPr>
      </w:pPr>
    </w:p>
    <w:p>
      <w:pPr>
        <w:rPr>
          <w:rFonts w:ascii="黑体" w:eastAsia="黑体" w:cs="黑体" w:hint="eastAsia"/>
          <w:b w:val="0"/>
          <w:bCs w:val="0"/>
        </w:rPr>
      </w:pPr>
      <w:r>
        <w:rPr>
          <w:rFonts w:ascii="黑体" w:eastAsia="黑体" w:cs="黑体" w:hint="eastAsia"/>
          <w:b w:val="0"/>
          <w:bCs w:val="0"/>
        </w:rPr>
        <w:t>六、贸易和服务业</w:t>
      </w:r>
    </w:p>
    <w:p>
      <w:pPr>
        <w:tabs>
          <w:tab w:val="left" w:pos="853"/>
        </w:tabs>
        <w:ind w:left="0" w:firstLineChars="200" w:firstLine="640"/>
        <w:rPr>
          <w:rFonts w:ascii="仿宋" w:eastAsia="仿宋" w:cs="仿宋" w:hint="eastAsia"/>
          <w:sz w:val="32"/>
          <w:szCs w:val="32"/>
          <w:lang w:val="en-US" w:eastAsia="zh-CN"/>
        </w:rPr>
      </w:pPr>
      <w:r>
        <w:rPr>
          <w:rFonts w:hint="eastAsia"/>
        </w:rPr>
        <w:t>20</w:t>
      </w:r>
      <w:r>
        <w:rPr>
          <w:rFonts w:hint="eastAsia"/>
          <w:lang w:val="en-US" w:eastAsia="zh-CN"/>
        </w:rPr>
        <w:t>22</w:t>
      </w:r>
      <w:r>
        <w:rPr>
          <w:rFonts w:hint="eastAsia"/>
        </w:rPr>
        <w:t>年</w:t>
      </w:r>
      <w:r>
        <w:rPr>
          <w:rFonts w:ascii="仿宋" w:eastAsia="仿宋" w:cs="仿宋" w:hint="eastAsia"/>
          <w:sz w:val="32"/>
          <w:szCs w:val="32"/>
          <w:lang w:val="en-US" w:eastAsia="zh-CN"/>
        </w:rPr>
        <w:t>朝阳区限额以上贸易业企业达到192户，其中：163户批发零售企业，29户住宿餐饮企业。全区限额以上社会消费品零售额完成</w:t>
      </w:r>
      <w:r>
        <w:rPr>
          <w:rFonts w:ascii="仿宋" w:eastAsia="仿宋" w:hint="eastAsia"/>
          <w:sz w:val="32"/>
          <w:szCs w:val="32"/>
          <w:lang w:val="en-US" w:eastAsia="zh-CN"/>
        </w:rPr>
        <w:t>210.4</w:t>
      </w:r>
      <w:r>
        <w:rPr>
          <w:rFonts w:ascii="仿宋" w:eastAsia="仿宋" w:cs="仿宋" w:hint="eastAsia"/>
          <w:sz w:val="32"/>
          <w:szCs w:val="32"/>
          <w:lang w:val="en-US" w:eastAsia="zh-CN"/>
        </w:rPr>
        <w:t>亿元，同比下降6.7%。全区限额以上社零额以24.0%的较高增速开局，之后增速逐月下降在1-4月达到今年最低，增速为-32.0%，随后开始逐步上升，在1-10月达到-4.7%后，恢复速度放缓，在最后一个月以-6.7%的增速收官。</w:t>
      </w:r>
    </w:p>
    <w:p>
      <w:pPr>
        <w:tabs>
          <w:tab w:val="left" w:pos="853"/>
        </w:tabs>
        <w:ind w:left="0" w:firstLineChars="200" w:firstLine="640"/>
        <w:rPr>
          <w:rFonts w:ascii="仿宋" w:eastAsia="仿宋" w:cs="仿宋" w:hint="eastAsia"/>
          <w:sz w:val="32"/>
          <w:szCs w:val="32"/>
          <w:lang w:val="en-US" w:eastAsia="zh-CN"/>
        </w:rPr>
      </w:pPr>
    </w:p>
    <w:p>
      <w:pPr>
        <w:tabs>
          <w:tab w:val="left" w:pos="853"/>
        </w:tabs>
        <w:ind w:left="0" w:firstLineChars="200" w:firstLine="640"/>
        <w:rPr>
          <w:rFonts w:ascii="仿宋" w:eastAsia="仿宋" w:cs="仿宋" w:hint="eastAsia"/>
          <w:sz w:val="32"/>
          <w:szCs w:val="32"/>
          <w:lang w:val="en-US" w:eastAsia="zh-CN"/>
        </w:rPr>
      </w:pPr>
      <w:r>
        <w:rPr>
          <w:rFonts w:ascii="仿宋" w:eastAsia="仿宋" w:cs="仿宋" w:hint="eastAsia"/>
          <w:sz w:val="32"/>
          <w:szCs w:val="32"/>
          <w:lang w:val="en-US" w:eastAsia="zh-CN"/>
        </w:rPr>
        <w:drawing>
          <wp:inline distT="0" distB="0" distL="114300" distR="114300">
            <wp:extent cx="4851400" cy="4141470"/>
            <wp:effectExtent l="0" t="0" r="0" b="0"/>
            <wp:docPr id="4" name="图表 2"/>
            <wp:cNvGraphicFramePr>
              <a:graphicFrameLocks noChangeAspect="0"/>
            </wp:cNvGraphicFramePr>
            <a:graphic>
              <a:graphicData uri="http://schemas.openxmlformats.org/drawingml/2006/chart">
                <c:chart xmlns:c="http://schemas.openxmlformats.org/drawingml/2006/chart" r:id="rId6"/>
              </a:graphicData>
            </a:graphic>
          </wp:inline>
        </w:drawing>
      </w:r>
    </w:p>
    <w:p>
      <w:pPr>
        <w:tabs>
          <w:tab w:val="left" w:pos="853"/>
        </w:tabs>
      </w:pPr>
    </w:p>
    <w:p>
      <w:r>
        <w:rPr>
          <w:rFonts w:hint="eastAsia"/>
        </w:rPr>
        <w:t>截至20</w:t>
      </w:r>
      <w:r>
        <w:rPr>
          <w:rFonts w:hint="eastAsia"/>
          <w:lang w:val="en-US" w:eastAsia="zh-CN"/>
        </w:rPr>
        <w:t>22</w:t>
      </w:r>
      <w:r>
        <w:rPr>
          <w:rFonts w:hint="eastAsia"/>
        </w:rPr>
        <w:t>年底，朝阳区规模以上服务业累计完成营业收入</w:t>
      </w:r>
      <w:r>
        <w:rPr>
          <w:rFonts w:hint="eastAsia"/>
          <w:lang w:val="en-US" w:eastAsia="zh-CN"/>
        </w:rPr>
        <w:t>95.6</w:t>
      </w:r>
      <w:r>
        <w:rPr>
          <w:rFonts w:hint="eastAsia"/>
        </w:rPr>
        <w:t>亿元，同比</w:t>
      </w:r>
      <w:r>
        <w:rPr>
          <w:rFonts w:hint="eastAsia"/>
          <w:lang w:eastAsia="zh-CN"/>
        </w:rPr>
        <w:t>下降</w:t>
      </w:r>
      <w:r>
        <w:rPr>
          <w:rFonts w:hint="eastAsia"/>
          <w:lang w:val="en-US" w:eastAsia="zh-CN"/>
        </w:rPr>
        <w:t>0.6</w:t>
      </w:r>
      <w:r>
        <w:rPr>
          <w:rFonts w:hint="eastAsia"/>
        </w:rPr>
        <w:t>%。其中，纳入GDP核算的重点行业企业为</w:t>
      </w:r>
      <w:r>
        <w:rPr>
          <w:rFonts w:hint="eastAsia"/>
          <w:lang w:val="en-US" w:eastAsia="zh-CN"/>
        </w:rPr>
        <w:t>72</w:t>
      </w:r>
      <w:r>
        <w:rPr>
          <w:rFonts w:hint="eastAsia"/>
        </w:rPr>
        <w:t>户，累计完成营业收入</w:t>
      </w:r>
      <w:r>
        <w:rPr>
          <w:rFonts w:hint="eastAsia"/>
          <w:lang w:val="en-US" w:eastAsia="zh-CN"/>
        </w:rPr>
        <w:t>73.2</w:t>
      </w:r>
      <w:r>
        <w:rPr>
          <w:rFonts w:hint="eastAsia"/>
        </w:rPr>
        <w:t>亿元，同比</w:t>
      </w:r>
      <w:r>
        <w:rPr>
          <w:rFonts w:hint="eastAsia"/>
          <w:lang w:eastAsia="zh-CN"/>
        </w:rPr>
        <w:t>增长</w:t>
      </w:r>
      <w:r>
        <w:rPr>
          <w:rFonts w:hint="eastAsia"/>
          <w:lang w:val="en-US" w:eastAsia="zh-CN"/>
        </w:rPr>
        <w:t>1.8</w:t>
      </w:r>
      <w:r>
        <w:rPr>
          <w:rFonts w:hint="eastAsia"/>
        </w:rPr>
        <w:t>%。</w:t>
      </w:r>
    </w:p>
    <w:p>
      <w:pPr>
        <w:pStyle w:val="1"/>
      </w:pPr>
      <w:r>
        <w:rPr>
          <w:rFonts w:hint="eastAsia"/>
        </w:rPr>
        <w:t>七、财政</w:t>
      </w:r>
    </w:p>
    <w:p>
      <w:pPr>
        <w:rPr>
          <w:rFonts w:eastAsia="仿宋_GB2312" w:hint="eastAsia"/>
          <w:lang w:eastAsia="zh-CN"/>
        </w:rPr>
      </w:pPr>
      <w:r>
        <w:rPr>
          <w:rFonts w:hint="eastAsia"/>
        </w:rPr>
        <w:t>2</w:t>
      </w:r>
      <w:r>
        <w:t>0</w:t>
      </w:r>
      <w:r>
        <w:rPr>
          <w:rFonts w:hint="eastAsia"/>
          <w:lang w:val="en-US" w:eastAsia="zh-CN"/>
        </w:rPr>
        <w:t>22</w:t>
      </w:r>
      <w:r>
        <w:rPr>
          <w:rFonts w:hint="eastAsia"/>
        </w:rPr>
        <w:t>年，朝阳区科学研判和积极应对</w:t>
      </w:r>
      <w:r>
        <w:rPr>
          <w:rFonts w:hint="eastAsia"/>
          <w:lang w:eastAsia="zh-CN"/>
        </w:rPr>
        <w:t>疫情带来的经济压力</w:t>
      </w:r>
      <w:r>
        <w:rPr>
          <w:rFonts w:hint="eastAsia"/>
        </w:rPr>
        <w:t>及日益凸显的收支矛盾，坚持以稳增长为核心，统筹推动促改革、调结构、惠民生、防风险、保稳定等各项工作，努力促进全区经济社会实现稳中有进和高质量发展，财政预算得到有效执行。全年全口径财政收入实现</w:t>
      </w:r>
      <w:r>
        <w:rPr>
          <w:rFonts w:hint="eastAsia"/>
          <w:lang w:val="en-US" w:eastAsia="zh-CN"/>
        </w:rPr>
        <w:t>45.3</w:t>
      </w:r>
      <w:r>
        <w:rPr>
          <w:rFonts w:hint="eastAsia"/>
        </w:rPr>
        <w:t>亿元，地方财政收入实现</w:t>
      </w:r>
      <w:r>
        <w:rPr>
          <w:rFonts w:hint="eastAsia"/>
          <w:lang w:val="en-US" w:eastAsia="zh-CN"/>
        </w:rPr>
        <w:t>9.4</w:t>
      </w:r>
      <w:r>
        <w:rPr>
          <w:rFonts w:hint="eastAsia"/>
        </w:rPr>
        <w:t>亿元。一般公共预算收入完成</w:t>
      </w:r>
      <w:r>
        <w:rPr>
          <w:rFonts w:hint="eastAsia"/>
          <w:lang w:val="en-US" w:eastAsia="zh-CN"/>
        </w:rPr>
        <w:t>8</w:t>
      </w:r>
      <w:r>
        <w:t>.</w:t>
      </w:r>
      <w:r>
        <w:rPr>
          <w:rFonts w:hint="eastAsia"/>
          <w:lang w:val="en-US" w:eastAsia="zh-CN"/>
        </w:rPr>
        <w:t>7</w:t>
      </w:r>
      <w:r>
        <w:rPr>
          <w:rFonts w:hint="eastAsia"/>
        </w:rPr>
        <w:t>亿元，同比</w:t>
      </w:r>
      <w:r>
        <w:rPr>
          <w:rFonts w:hint="eastAsia"/>
          <w:lang w:eastAsia="zh-CN"/>
        </w:rPr>
        <w:t>下降</w:t>
      </w:r>
      <w:r>
        <w:rPr>
          <w:rFonts w:hint="eastAsia"/>
          <w:lang w:val="en-US" w:eastAsia="zh-CN"/>
        </w:rPr>
        <w:t>36.8</w:t>
      </w:r>
      <w:r>
        <w:t>%</w:t>
      </w:r>
      <w:r>
        <w:rPr>
          <w:rFonts w:hint="eastAsia"/>
        </w:rPr>
        <w:t>；一般公共预算支出完成</w:t>
      </w:r>
      <w:r>
        <w:rPr>
          <w:rFonts w:hint="eastAsia"/>
          <w:lang w:val="en-US" w:eastAsia="zh-CN"/>
        </w:rPr>
        <w:t>30.0</w:t>
      </w:r>
      <w:r>
        <w:rPr>
          <w:rFonts w:hint="eastAsia"/>
        </w:rPr>
        <w:t>亿元，同比</w:t>
      </w:r>
      <w:r>
        <w:rPr>
          <w:rFonts w:hint="eastAsia"/>
          <w:lang w:eastAsia="zh-CN"/>
        </w:rPr>
        <w:t>下降</w:t>
      </w:r>
      <w:r>
        <w:rPr>
          <w:rFonts w:hint="eastAsia"/>
          <w:lang w:val="en-US" w:eastAsia="zh-CN"/>
        </w:rPr>
        <w:t>24.7</w:t>
      </w:r>
      <w:r>
        <w:t>%</w:t>
      </w:r>
      <w:r>
        <w:rPr>
          <w:rFonts w:hint="eastAsia"/>
          <w:lang w:eastAsia="zh-CN"/>
        </w:rPr>
        <w:t>。</w:t>
      </w:r>
    </w:p>
    <w:p>
      <w:pPr>
        <w:pStyle w:val="1"/>
      </w:pPr>
      <w:r>
        <w:rPr>
          <w:rFonts w:hint="eastAsia"/>
          <w:lang w:eastAsia="zh-CN"/>
        </w:rPr>
        <w:t>八</w:t>
      </w:r>
      <w:r>
        <w:rPr>
          <w:rFonts w:hint="eastAsia"/>
        </w:rPr>
        <w:t>、教育、卫生</w:t>
      </w:r>
    </w:p>
    <w:p>
      <w:r>
        <w:rPr>
          <w:rFonts w:hint="eastAsia"/>
        </w:rPr>
        <w:t>全区共有义务教育阶段学校3</w:t>
      </w:r>
      <w:r>
        <w:rPr>
          <w:rFonts w:hint="eastAsia"/>
          <w:lang w:val="en-US" w:eastAsia="zh-CN"/>
        </w:rPr>
        <w:t>9</w:t>
      </w:r>
      <w:r>
        <w:rPr>
          <w:rFonts w:hint="eastAsia"/>
        </w:rPr>
        <w:t>所。其中，小学27所，小学教师</w:t>
      </w:r>
      <w:r>
        <w:rPr>
          <w:rFonts w:hint="eastAsia"/>
          <w:lang w:val="en-US" w:eastAsia="zh-CN"/>
        </w:rPr>
        <w:t>1824</w:t>
      </w:r>
      <w:r>
        <w:rPr>
          <w:rFonts w:hint="eastAsia"/>
        </w:rPr>
        <w:t>名，在校学生2.</w:t>
      </w:r>
      <w:r>
        <w:rPr>
          <w:rFonts w:hint="eastAsia"/>
          <w:lang w:val="en-US" w:eastAsia="zh-CN"/>
        </w:rPr>
        <w:t>1</w:t>
      </w:r>
      <w:r>
        <w:rPr>
          <w:rFonts w:hint="eastAsia"/>
        </w:rPr>
        <w:t>万人；普通初中1</w:t>
      </w:r>
      <w:r>
        <w:rPr>
          <w:rFonts w:hint="eastAsia"/>
          <w:lang w:val="en-US" w:eastAsia="zh-CN"/>
        </w:rPr>
        <w:t>2</w:t>
      </w:r>
      <w:r>
        <w:rPr>
          <w:rFonts w:hint="eastAsia"/>
        </w:rPr>
        <w:t>所，初中教师</w:t>
      </w:r>
      <w:r>
        <w:rPr>
          <w:rFonts w:hint="eastAsia"/>
          <w:lang w:val="en-US" w:eastAsia="zh-CN"/>
        </w:rPr>
        <w:t>1237</w:t>
      </w:r>
      <w:r>
        <w:rPr>
          <w:rFonts w:hint="eastAsia"/>
        </w:rPr>
        <w:t>名，在校学生</w:t>
      </w:r>
      <w:r>
        <w:rPr>
          <w:rFonts w:hint="eastAsia"/>
          <w:lang w:val="en-US" w:eastAsia="zh-CN"/>
        </w:rPr>
        <w:t>0.8</w:t>
      </w:r>
      <w:r>
        <w:rPr>
          <w:rFonts w:hint="eastAsia"/>
        </w:rPr>
        <w:t>万人。</w:t>
      </w:r>
    </w:p>
    <w:p>
      <w:pPr>
        <w:rPr>
          <w:b/>
          <w:bCs/>
        </w:rPr>
      </w:pPr>
      <w:r>
        <w:rPr>
          <w:rFonts w:hint="eastAsia"/>
        </w:rPr>
        <w:t>全区共有医疗机构</w:t>
      </w:r>
      <w:r>
        <w:rPr>
          <w:rFonts w:hint="eastAsia"/>
          <w:lang w:val="en-US" w:eastAsia="zh-CN"/>
        </w:rPr>
        <w:t>686</w:t>
      </w:r>
      <w:r>
        <w:rPr>
          <w:rFonts w:hint="eastAsia"/>
        </w:rPr>
        <w:t>个（含个体诊所），其中，医院</w:t>
      </w:r>
      <w:r>
        <w:rPr>
          <w:rFonts w:hint="eastAsia"/>
          <w:lang w:val="en-US" w:eastAsia="zh-CN"/>
        </w:rPr>
        <w:t>29</w:t>
      </w:r>
      <w:r>
        <w:rPr>
          <w:rFonts w:hint="eastAsia"/>
        </w:rPr>
        <w:t>个，乡镇卫生院</w:t>
      </w:r>
      <w:r>
        <w:rPr>
          <w:rFonts w:hint="eastAsia"/>
          <w:lang w:val="en-US" w:eastAsia="zh-CN"/>
        </w:rPr>
        <w:t>2</w:t>
      </w:r>
      <w:r>
        <w:rPr>
          <w:rFonts w:hint="eastAsia"/>
        </w:rPr>
        <w:t>个，社区卫生服务中心（站）</w:t>
      </w:r>
      <w:r>
        <w:rPr>
          <w:rFonts w:hint="eastAsia"/>
          <w:lang w:val="en-US" w:eastAsia="zh-CN"/>
        </w:rPr>
        <w:t>18</w:t>
      </w:r>
      <w:r>
        <w:rPr>
          <w:rFonts w:hint="eastAsia"/>
        </w:rPr>
        <w:t>个。全区医疗机构卫生技术人员</w:t>
      </w:r>
      <w:r>
        <w:rPr>
          <w:rFonts w:hint="eastAsia"/>
          <w:lang w:val="en-US" w:eastAsia="zh-CN"/>
        </w:rPr>
        <w:t>21622</w:t>
      </w:r>
      <w:r>
        <w:rPr>
          <w:rFonts w:hint="eastAsia"/>
        </w:rPr>
        <w:t>人，其中，执业（助理）医师</w:t>
      </w:r>
      <w:r>
        <w:rPr>
          <w:rFonts w:hint="eastAsia"/>
          <w:lang w:val="en-US" w:eastAsia="zh-CN"/>
        </w:rPr>
        <w:t>397</w:t>
      </w:r>
      <w:r>
        <w:rPr>
          <w:rFonts w:hint="eastAsia"/>
        </w:rPr>
        <w:t>人，执业医师</w:t>
      </w:r>
      <w:r>
        <w:rPr>
          <w:rFonts w:hint="eastAsia"/>
          <w:lang w:val="en-US" w:eastAsia="zh-CN"/>
        </w:rPr>
        <w:t>9991</w:t>
      </w:r>
      <w:r>
        <w:rPr>
          <w:rFonts w:hint="eastAsia"/>
        </w:rPr>
        <w:t>人</w:t>
      </w:r>
      <w:r>
        <w:rPr>
          <w:rFonts w:hint="eastAsia"/>
          <w:lang w:eastAsia="zh-CN"/>
        </w:rPr>
        <w:t>，</w:t>
      </w:r>
      <w:r>
        <w:rPr>
          <w:rFonts w:hint="eastAsia"/>
        </w:rPr>
        <w:t>注册护士</w:t>
      </w:r>
      <w:r>
        <w:rPr>
          <w:rFonts w:hint="eastAsia"/>
          <w:lang w:val="en-US" w:eastAsia="zh-CN"/>
        </w:rPr>
        <w:t>9388</w:t>
      </w:r>
      <w:r>
        <w:rPr>
          <w:rFonts w:hint="eastAsia"/>
        </w:rPr>
        <w:t>人</w:t>
      </w:r>
      <w:r>
        <w:rPr>
          <w:rFonts w:hint="eastAsia"/>
          <w:lang w:eastAsia="zh-CN"/>
        </w:rPr>
        <w:t>，药师</w:t>
      </w:r>
      <w:r>
        <w:rPr>
          <w:rFonts w:hint="eastAsia"/>
          <w:lang w:val="en-US" w:eastAsia="zh-CN"/>
        </w:rPr>
        <w:t>761人</w:t>
      </w:r>
      <w:r>
        <w:rPr>
          <w:rFonts w:hint="eastAsia"/>
        </w:rPr>
        <w:t>。</w:t>
      </w:r>
    </w:p>
    <w:p>
      <w:pPr>
        <w:pStyle w:val="1"/>
      </w:pPr>
      <w:r>
        <w:rPr>
          <w:rFonts w:hint="eastAsia"/>
          <w:lang w:eastAsia="zh-CN"/>
        </w:rPr>
        <w:t>九</w:t>
      </w:r>
      <w:r>
        <w:rPr>
          <w:rFonts w:hint="eastAsia"/>
        </w:rPr>
        <w:t>、人口和人民生活</w:t>
      </w:r>
    </w:p>
    <w:p>
      <w:r>
        <w:rPr>
          <w:rFonts w:hint="eastAsia"/>
        </w:rPr>
        <w:t>20</w:t>
      </w:r>
      <w:r>
        <w:rPr>
          <w:rFonts w:hint="eastAsia"/>
          <w:lang w:val="en-US" w:eastAsia="zh-CN"/>
        </w:rPr>
        <w:t>22</w:t>
      </w:r>
      <w:r>
        <w:rPr>
          <w:rFonts w:hint="eastAsia"/>
        </w:rPr>
        <w:t>年末，全区户籍总人口为</w:t>
      </w:r>
      <w:r>
        <w:rPr>
          <w:rFonts w:hint="eastAsia"/>
          <w:lang w:val="en-US" w:eastAsia="zh-CN"/>
        </w:rPr>
        <w:t>57.2</w:t>
      </w:r>
      <w:r>
        <w:rPr>
          <w:rFonts w:hint="eastAsia"/>
        </w:rPr>
        <w:t>万人。其中男性</w:t>
      </w:r>
      <w:r>
        <w:rPr>
          <w:rFonts w:hint="eastAsia"/>
          <w:lang w:val="en-US" w:eastAsia="zh-CN"/>
        </w:rPr>
        <w:t>27.5</w:t>
      </w:r>
      <w:r>
        <w:rPr>
          <w:rFonts w:hint="eastAsia"/>
        </w:rPr>
        <w:t>万人，占总人口的48.2%；女性</w:t>
      </w:r>
      <w:r>
        <w:rPr>
          <w:rFonts w:hint="eastAsia"/>
          <w:lang w:val="en-US" w:eastAsia="zh-CN"/>
        </w:rPr>
        <w:t>29.7</w:t>
      </w:r>
      <w:r>
        <w:rPr>
          <w:rFonts w:hint="eastAsia"/>
        </w:rPr>
        <w:t>万人，占总人口的</w:t>
      </w:r>
      <w:r>
        <w:rPr>
          <w:rFonts w:hint="eastAsia"/>
          <w:lang w:val="en-US" w:eastAsia="zh-CN"/>
        </w:rPr>
        <w:t>51.8</w:t>
      </w:r>
      <w:r>
        <w:rPr>
          <w:rFonts w:hint="eastAsia"/>
        </w:rPr>
        <w:t>%；乡村人口4.5万人，占总人口的7.58%；城镇人口5</w:t>
      </w:r>
      <w:r>
        <w:rPr>
          <w:rFonts w:hint="eastAsia"/>
          <w:lang w:val="en-US" w:eastAsia="zh-CN"/>
        </w:rPr>
        <w:t>2.7</w:t>
      </w:r>
      <w:r>
        <w:rPr>
          <w:rFonts w:hint="eastAsia"/>
        </w:rPr>
        <w:t>万人，占总人口的92.42%；全区出生人口</w:t>
      </w:r>
      <w:r>
        <w:rPr>
          <w:rFonts w:hint="eastAsia"/>
          <w:lang w:val="en-US" w:eastAsia="zh-CN"/>
        </w:rPr>
        <w:t>2305</w:t>
      </w:r>
      <w:r>
        <w:rPr>
          <w:rFonts w:hint="eastAsia"/>
        </w:rPr>
        <w:t>人，人口出生率</w:t>
      </w:r>
      <w:r>
        <w:rPr>
          <w:rFonts w:hint="eastAsia"/>
          <w:lang w:val="en-US" w:eastAsia="zh-CN"/>
        </w:rPr>
        <w:t>4.4</w:t>
      </w:r>
      <w:r>
        <w:rPr>
          <w:rFonts w:hint="eastAsia"/>
        </w:rPr>
        <w:t>‰，死亡人口4</w:t>
      </w:r>
      <w:r>
        <w:rPr>
          <w:rFonts w:hint="eastAsia"/>
          <w:lang w:val="en-US" w:eastAsia="zh-CN"/>
        </w:rPr>
        <w:t>615</w:t>
      </w:r>
      <w:r>
        <w:rPr>
          <w:rFonts w:hint="eastAsia"/>
        </w:rPr>
        <w:t>人，死亡率</w:t>
      </w:r>
      <w:r>
        <w:rPr>
          <w:rFonts w:hint="eastAsia"/>
          <w:lang w:val="en-US" w:eastAsia="zh-CN"/>
        </w:rPr>
        <w:t>8.9</w:t>
      </w:r>
      <w:r>
        <w:rPr>
          <w:rFonts w:hint="eastAsia"/>
        </w:rPr>
        <w:t>‰，自然增长率</w:t>
      </w:r>
      <w:r>
        <w:rPr>
          <w:rFonts w:hint="eastAsia"/>
          <w:lang w:val="en-US" w:eastAsia="zh-CN"/>
        </w:rPr>
        <w:t>-4.5</w:t>
      </w:r>
      <w:r>
        <w:rPr>
          <w:rFonts w:hint="eastAsia"/>
        </w:rPr>
        <w:t>‰。</w:t>
      </w:r>
    </w:p>
    <w:p>
      <w:pPr>
        <w:widowControl/>
        <w:shd w:val="clear" w:color="auto" w:fill="FFFFFF"/>
        <w:spacing w:line="480" w:lineRule="atLeast"/>
        <w:ind w:firstLineChars="0" w:firstLine="0"/>
        <w:rPr>
          <w:rFonts w:ascii="微软雅黑" w:eastAsia="微软雅黑" w:cs="宋体"/>
          <w:color w:val="000000"/>
          <w:kern w:val="0"/>
          <w:sz w:val="27"/>
          <w:szCs w:val="27"/>
        </w:rPr>
      </w:pPr>
      <w:r>
        <w:rPr>
          <w:rFonts w:ascii="微软雅黑" w:eastAsia="微软雅黑" w:cs="宋体" w:hint="eastAsia"/>
          <w:color w:val="000000"/>
          <w:kern w:val="0"/>
          <w:sz w:val="27"/>
          <w:szCs w:val="27"/>
        </w:rPr>
        <w:t>注：</w:t>
      </w:r>
    </w:p>
    <w:p>
      <w:pPr>
        <w:widowControl/>
        <w:shd w:val="clear" w:color="auto" w:fill="FFFFFF"/>
        <w:spacing w:line="480" w:lineRule="atLeast"/>
        <w:ind w:firstLineChars="0" w:firstLine="0"/>
        <w:rPr>
          <w:rFonts w:ascii="微软雅黑" w:eastAsia="微软雅黑" w:cs="宋体"/>
          <w:color w:val="000000"/>
          <w:kern w:val="0"/>
          <w:sz w:val="27"/>
          <w:szCs w:val="27"/>
        </w:rPr>
      </w:pPr>
      <w:r>
        <w:rPr>
          <w:rFonts w:ascii="微软雅黑" w:eastAsia="微软雅黑" w:cs="宋体" w:hint="eastAsia"/>
          <w:color w:val="000000"/>
          <w:kern w:val="0"/>
          <w:sz w:val="27"/>
          <w:szCs w:val="27"/>
        </w:rPr>
        <w:t>　　1.本公报各项统计数据为初步统计数。</w:t>
      </w:r>
    </w:p>
    <w:p>
      <w:pPr>
        <w:widowControl/>
        <w:shd w:val="clear" w:color="auto" w:fill="FFFFFF"/>
        <w:spacing w:line="480" w:lineRule="atLeast"/>
        <w:ind w:firstLineChars="0" w:firstLine="0"/>
        <w:rPr>
          <w:rFonts w:ascii="微软雅黑" w:eastAsia="微软雅黑" w:cs="宋体"/>
          <w:color w:val="000000"/>
          <w:kern w:val="0"/>
          <w:sz w:val="27"/>
          <w:szCs w:val="27"/>
        </w:rPr>
      </w:pPr>
      <w:r>
        <w:rPr>
          <w:rFonts w:ascii="微软雅黑" w:eastAsia="微软雅黑" w:cs="宋体" w:hint="eastAsia"/>
          <w:color w:val="000000"/>
          <w:kern w:val="0"/>
          <w:sz w:val="27"/>
          <w:szCs w:val="27"/>
        </w:rPr>
        <w:t>　　2.本公报朝阳区生产总值、各产业增加值绝对数按现价计算，增长速度按可比价格计算。根据第四次全国经济普查结果，市统计局对各城区地区生产总值、三次产业及相关产业增加值等相关指标的历史数据进行了修订。本公报中涉及20</w:t>
      </w:r>
      <w:r>
        <w:rPr>
          <w:rFonts w:ascii="微软雅黑" w:eastAsia="微软雅黑" w:cs="宋体" w:hint="eastAsia"/>
          <w:color w:val="000000"/>
          <w:kern w:val="0"/>
          <w:sz w:val="27"/>
          <w:szCs w:val="27"/>
          <w:lang w:val="en-US" w:eastAsia="zh-CN"/>
        </w:rPr>
        <w:t>22</w:t>
      </w:r>
      <w:r>
        <w:rPr>
          <w:rFonts w:ascii="微软雅黑" w:eastAsia="微软雅黑" w:cs="宋体" w:hint="eastAsia"/>
          <w:color w:val="000000"/>
          <w:kern w:val="0"/>
          <w:sz w:val="27"/>
          <w:szCs w:val="27"/>
        </w:rPr>
        <w:t>年地区生产总值、三次产业及相关产业增加值和以地区生产总值为分母计算的强度指标均以市统计局反馈修订后的20</w:t>
      </w:r>
      <w:r>
        <w:rPr>
          <w:rFonts w:ascii="微软雅黑" w:eastAsia="微软雅黑" w:cs="宋体" w:hint="eastAsia"/>
          <w:color w:val="000000"/>
          <w:kern w:val="0"/>
          <w:sz w:val="27"/>
          <w:szCs w:val="27"/>
          <w:lang w:val="en-US" w:eastAsia="zh-CN"/>
        </w:rPr>
        <w:t>21</w:t>
      </w:r>
      <w:r>
        <w:rPr>
          <w:rFonts w:ascii="微软雅黑" w:eastAsia="微软雅黑" w:cs="宋体" w:hint="eastAsia"/>
          <w:color w:val="000000"/>
          <w:kern w:val="0"/>
          <w:sz w:val="27"/>
          <w:szCs w:val="27"/>
        </w:rPr>
        <w:t>年数据为基数。</w:t>
      </w:r>
    </w:p>
    <w:p>
      <w:pPr>
        <w:widowControl/>
        <w:shd w:val="clear" w:color="auto" w:fill="FFFFFF"/>
        <w:spacing w:line="480" w:lineRule="atLeast"/>
        <w:ind w:firstLineChars="0" w:firstLine="0"/>
        <w:rPr>
          <w:rFonts w:ascii="微软雅黑" w:eastAsia="微软雅黑" w:cs="宋体"/>
          <w:color w:val="000000"/>
          <w:kern w:val="0"/>
          <w:sz w:val="27"/>
          <w:szCs w:val="27"/>
        </w:rPr>
      </w:pPr>
      <w:r>
        <w:rPr>
          <w:rFonts w:ascii="微软雅黑" w:eastAsia="微软雅黑" w:cs="宋体" w:hint="eastAsia"/>
          <w:color w:val="000000"/>
          <w:kern w:val="0"/>
          <w:sz w:val="27"/>
          <w:szCs w:val="27"/>
        </w:rPr>
        <w:t>　　3.资料来源：本公报中财政数据来自区财政局；教育数据来自区教育局；卫生数据来自区卫生健康委；人口数据来自区公安分局；其他数据均来自区统计局。</w:t>
      </w:r>
    </w:p>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仿宋_GB2312">
    <w:altName w:val="仿宋"/>
    <w:panose1 w:val="02010609030101010101"/>
    <w:charset w:val="86"/>
    <w:family w:val="modern"/>
    <w:pitch w:val="variable"/>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1"/>
    <w:family w:val="auto"/>
    <w:pitch w:val="variable"/>
    <w:sig w:usb0="E0002AFF" w:usb1="C0007841" w:usb2="00000009" w:usb3="00000000" w:csb0="400001FF" w:csb1="FFFF0000"/>
  </w:font>
  <w:font w:name="Calibri">
    <w:altName w:val="Times New Roman"/>
    <w:panose1 w:val="020F0502020204030204"/>
    <w:charset w:val="00"/>
    <w:family w:val="swiss"/>
    <w:pitch w:val="variable"/>
    <w:sig w:usb0="E00002FF" w:usb1="4000ACFF" w:usb2="00000001" w:usb3="00000000" w:csb0="2000019F" w:csb1="00000000"/>
  </w:font>
  <w:font w:name="Calibri Light">
    <w:altName w:val="DejaVu Sans"/>
    <w:panose1 w:val="020F0302020204030204"/>
    <w:charset w:val="00"/>
    <w:family w:val="swiss"/>
    <w:pitch w:val="variable"/>
    <w:sig w:usb0="A00002EF" w:usb1="4000207B" w:usb2="00000000" w:usb3="00000000" w:csb0="2000019F" w:csb1="00000000"/>
  </w:font>
  <w:font w:name="楷体_GB2312">
    <w:panose1 w:val="02010609030101010101"/>
    <w:charset w:val="86"/>
    <w:family w:val="modern"/>
    <w:pitch w:val="variable"/>
    <w:sig w:usb0="00000001" w:usb1="080E0000" w:usb2="00000000" w:usb3="00000000" w:csb0="0004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OGExY2ZkNmVmYzJlZGYyZGU2ZjIxODAyYjE4NWQ4M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ind w:firstLineChars="200" w:firstLine="200"/>
      <w:jc w:val="both"/>
    </w:pPr>
    <w:rPr>
      <w:rFonts w:ascii="Calibri" w:eastAsia="仿宋_GB2312" w:cs="Arial" w:hAnsi="Calibri"/>
      <w:kern w:val="2"/>
      <w:sz w:val="32"/>
      <w:szCs w:val="22"/>
      <w:lang w:val="en-US" w:eastAsia="zh-CN" w:bidi="ar-SA"/>
    </w:rPr>
  </w:style>
  <w:style w:type="paragraph" w:styleId="1">
    <w:name w:val="heading 1"/>
    <w:basedOn w:val="0"/>
    <w:next w:val="0"/>
    <w:pPr>
      <w:keepNext/>
      <w:keepLines/>
      <w:widowControl w:val="0"/>
      <w:spacing w:line="360" w:lineRule="auto"/>
      <w:outlineLvl w:val="0"/>
    </w:pPr>
    <w:rPr>
      <w:rFonts w:eastAsia="黑体"/>
      <w:b/>
      <w:bCs/>
      <w:kern w:val="44"/>
      <w:szCs w:val="44"/>
    </w:rPr>
  </w:style>
  <w:style w:type="paragraph" w:styleId="2">
    <w:name w:val="heading 2"/>
    <w:basedOn w:val="0"/>
    <w:next w:val="0"/>
    <w:pPr>
      <w:keepNext/>
      <w:keepLines/>
      <w:widowControl w:val="0"/>
      <w:spacing w:line="360" w:lineRule="auto"/>
      <w:outlineLvl w:val="1"/>
    </w:pPr>
    <w:rPr>
      <w:rFonts w:ascii="Calibri Light" w:eastAsia="楷体_GB2312" w:cs="Times New Roman" w:hAnsi="Calibri Light"/>
      <w:b/>
      <w:bCs/>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widowControl/>
      <w:spacing w:before="100" w:beforeAutospacing="1" w:after="100" w:afterAutospacing="1"/>
      <w:jc w:val="left"/>
    </w:pPr>
    <w:rPr>
      <w:rFonts w:ascii="宋体" w:cs="宋体" w:hAnsi="宋体"/>
      <w:kern w:val="0"/>
      <w:sz w:val="24"/>
    </w:rPr>
  </w:style>
  <w:style w:type="paragraph" w:styleId="19">
    <w:name w:val="Title"/>
    <w:basedOn w:val="0"/>
    <w:next w:val="0"/>
    <w:pPr>
      <w:spacing w:before="240" w:after="60"/>
      <w:jc w:val="center"/>
      <w:outlineLvl w:val="0"/>
    </w:pPr>
    <w:rPr>
      <w:rFonts w:ascii="Calibri Light" w:eastAsia="黑体" w:cs="Times New Roman" w:hAnsi="Calibri Light"/>
      <w:b/>
      <w:bCs/>
      <w:sz w:val="44"/>
      <w:szCs w:val="32"/>
    </w:rPr>
  </w:style>
  <w:style w:type="paragraph" w:styleId="20">
    <w:name w:val="List Paragraph"/>
    <w:basedOn w:val="0"/>
  </w:style>
  <w:style w:type="paragraph" w:styleId="21">
    <w:name w:val="No Spacing"/>
    <w:pPr>
      <w:widowControl w:val="0"/>
      <w:ind w:firstLineChars="200" w:firstLine="200"/>
      <w:jc w:val="both"/>
    </w:pPr>
    <w:rPr>
      <w:rFonts w:ascii="Calibri" w:eastAsia="仿宋_GB2312" w:cs="Arial" w:hAnsi="Calibri"/>
      <w:kern w:val="2"/>
      <w:sz w:val="32"/>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chart" Target="charts/chart1.xml"/><Relationship Id="rId4" Type="http://schemas.openxmlformats.org/officeDocument/2006/relationships/chart" Target="charts/chart2.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styles" Target="styles.xml"/><Relationship Id="rId8" Type="http://schemas.openxmlformats.org/officeDocument/2006/relationships/fontTable" Target="fontTable.xml"/><Relationship Id="rId9"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0" i="0" u="none" strike="noStrike" baseline="0">
                <a:solidFill>
                  <a:srgbClr val="595959"/>
                </a:solidFill>
                <a:latin typeface="Calibri"/>
                <a:ea typeface="宋体"/>
                <a:cs typeface="Lucida Sans"/>
              </a:rPr>
              <a:t>三次产业占</a:t>
            </a:r>
            <a:r>
              <a:rPr lang="zh-CN" sz="1400" b="0" i="0" u="none" strike="noStrike" baseline="0">
                <a:solidFill>
                  <a:srgbClr val="595959"/>
                </a:solidFill>
                <a:latin typeface="Calibri"/>
                <a:ea typeface="宋体"/>
                <a:cs typeface="Lucida Sans"/>
              </a:rPr>
              <a:t>GDP</a:t>
            </a:r>
            <a:r>
              <a:rPr lang="zh-CN" sz="1400" b="0" i="0" u="none" strike="noStrike" baseline="0">
                <a:solidFill>
                  <a:srgbClr val="595959"/>
                </a:solidFill>
                <a:latin typeface="Calibri"/>
                <a:ea typeface="宋体"/>
                <a:cs typeface="Lucida Sans"/>
              </a:rPr>
              <a:t>比重</a:t>
            </a:r>
          </a:p>
        </c:rich>
      </c:tx>
      <c:layout/>
      <c:overlay val="0"/>
      <c:spPr>
        <a:noFill/>
        <a:ln>
          <a:noFill/>
        </a:ln>
      </c:spPr>
    </c:title>
    <c:autoTitleDeleted val="1"/>
    <c:plotArea>
      <c:layout/>
      <c:barChart>
        <c:barDir val="bar"/>
        <c:grouping val="clustered"/>
        <c:varyColors val="0"/>
        <c:ser>
          <c:idx val="0"/>
          <c:order val="0"/>
          <c:spPr>
            <a:solidFill>
              <a:srgbClr val="5B9BD5"/>
            </a:solidFill>
            <a:ln w="19050">
              <a:solidFill>
                <a:srgbClr val="FFFFFF"/>
              </a:solidFill>
              <a:prstDash val="solid"/>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00%" sourceLinked="0"/>
            <c:dLbl>
              <c:idx val="0"/>
              <c:numFmt formatCode="0.00%" sourceLinked="0"/>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outEnd"/>
              <c:tx>
                <c:rich>
                  <a:bodyPr vert="horz"/>
                  <a:lstStyle/>
                  <a:p>
                    <a:pPr>
                      <a:defRPr sz="900" b="0" i="0" u="none" strike="noStrike" baseline="0">
                        <a:solidFill>
                          <a:srgbClr val="404040"/>
                        </a:solidFill>
                        <a:latin typeface="Times New Roman"/>
                        <a:ea typeface="宋体"/>
                        <a:cs typeface="Lucida Sans"/>
                      </a:defRPr>
                    </a:pPr>
                    <a:r>
                      <a:rPr lang="zh-CN"/>
                      <a:t>0.1%</a:t>
                    </a:r>
                  </a:p>
                </c:rich>
              </c:tx>
              <c:showLegendKey val="0"/>
              <c:showVal val="1"/>
              <c:showCatName val="0"/>
              <c:showSerName val="0"/>
              <c:showPercent val="0"/>
              <c:showBubbleSize val="0"/>
            </c:dLbl>
            <c:dLbl>
              <c:idx val="1"/>
              <c:numFmt formatCode="0.00%" sourceLinked="0"/>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outEnd"/>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2</a:t>
                    </a:r>
                    <a:r>
                      <a:rPr lang="zh-CN" sz="900" b="0" i="0" u="none" strike="noStrike" baseline="0">
                        <a:solidFill>
                          <a:srgbClr val="404040"/>
                        </a:solidFill>
                        <a:latin typeface="Times New Roman"/>
                        <a:ea typeface="宋体"/>
                        <a:cs typeface="Lucida Sans"/>
                      </a:rPr>
                      <a:t>9.5</a:t>
                    </a:r>
                    <a:r>
                      <a:rPr lang="zh-CN" sz="900" b="0" i="0" u="none" strike="noStrike" baseline="0">
                        <a:solidFill>
                          <a:srgbClr val="404040"/>
                        </a:solidFill>
                        <a:latin typeface="Times New Roman"/>
                        <a:ea typeface="宋体"/>
                        <a:cs typeface="Lucida Sans"/>
                      </a:rPr>
                      <a:t>%</a:t>
                    </a:r>
                  </a:p>
                </c:rich>
              </c:tx>
              <c:showLegendKey val="0"/>
              <c:showVal val="1"/>
              <c:showCatName val="0"/>
              <c:showSerName val="0"/>
              <c:showPercent val="0"/>
              <c:showBubbleSize val="0"/>
            </c:dLbl>
            <c:dLbl>
              <c:idx val="2"/>
              <c:layout>
                <c:manualLayout>
                  <c:x val="-0.0018059234"/>
                  <c:y val="0.0"/>
                </c:manualLayout>
              </c:layout>
              <c:numFmt formatCode="0.00%" sourceLinked="0"/>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outEnd"/>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70.</a:t>
                    </a:r>
                    <a:r>
                      <a:rPr lang="zh-CN" sz="900" b="0" i="0" u="none" strike="noStrike" baseline="0">
                        <a:solidFill>
                          <a:srgbClr val="404040"/>
                        </a:solidFill>
                        <a:latin typeface="Times New Roman"/>
                        <a:ea typeface="宋体"/>
                        <a:cs typeface="Lucida Sans"/>
                      </a:rPr>
                      <a:t>4</a:t>
                    </a:r>
                    <a:r>
                      <a:rPr lang="zh-CN" sz="900" b="0" i="0" u="none" strike="noStrike" baseline="0">
                        <a:solidFill>
                          <a:srgbClr val="404040"/>
                        </a:solidFill>
                        <a:latin typeface="Times New Roman"/>
                        <a:ea typeface="宋体"/>
                        <a:cs typeface="Lucida Sans"/>
                      </a:rPr>
                      <a:t>%</a:t>
                    </a:r>
                  </a:p>
                </c:rich>
              </c:tx>
              <c:showLegendKey val="0"/>
              <c:showVal val="1"/>
              <c:showCatName val="0"/>
              <c:showSerName val="0"/>
              <c:showPercent val="0"/>
              <c:showBubbleSize val="0"/>
            </c:dLbl>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3"/>
              <c:pt idx="0">
                <c:v>第一产业</c:v>
              </c:pt>
              <c:pt idx="1">
                <c:v>第二产业</c:v>
              </c:pt>
              <c:pt idx="2">
                <c:v>第三产业</c:v>
              </c:pt>
            </c:strLit>
          </c:cat>
          <c:val>
            <c:numRef>
              <c:f/>
              <c:numCache>
                <c:formatCode>0.00%</c:formatCode>
                <c:ptCount val="3"/>
                <c:pt idx="0">
                  <c:v>0.00155541881393739</c:v>
                </c:pt>
                <c:pt idx="1">
                  <c:v>0.293748634720406</c:v>
                </c:pt>
                <c:pt idx="2">
                  <c:v>0.704695946465656</c:v>
                </c:pt>
              </c:numCache>
            </c:numRef>
          </c:val>
        </c:ser>
        <c:gapWidth val="150"/>
        <c:axId val="0"/>
        <c:axId val="1"/>
      </c:barChart>
      <c:catAx>
        <c:axId val="0"/>
        <c:scaling>
          <c:orientation val="minMax"/>
        </c:scaling>
        <c:delete val="0"/>
        <c:axPos val="l"/>
        <c:numFmt formatCode="General" sourceLinked="0"/>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b"/>
        <c:majorGridlines>
          <c:spPr>
            <a:ln w="6350">
              <a:solidFill>
                <a:srgbClr val="D9D9D9"/>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529626"/>
          <c:y val="0.06452318"/>
          <c:w val="0.8718555"/>
          <c:h val="0.7470254"/>
        </c:manualLayout>
      </c:layout>
      <c:barChart>
        <c:barDir val="col"/>
        <c:grouping val="clustered"/>
        <c:varyColors val="0"/>
        <c:ser>
          <c:idx val="0"/>
          <c:order val="0"/>
          <c:tx>
            <c:strRef>
              <c:f>'Sheet1'!$B$1</c:f>
              <c:strCache>
                <c:ptCount val="1"/>
                <c:pt idx="0">
                  <c:v>2022年完成总产值（亿元）</c:v>
                </c:pt>
              </c:strCache>
            </c:strRef>
          </c:tx>
          <c:spPr>
            <a:solidFill>
              <a:srgbClr val="5B9BD5"/>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0"/>
          </c:dLbls>
          <c:cat>
            <c:strRef>
              <c:f>'Sheet1'!$A$2:$A$5</c:f>
              <c:strCache>
                <c:ptCount val="4"/>
                <c:pt idx="0">
                  <c:v>一季度</c:v>
                </c:pt>
                <c:pt idx="1">
                  <c:v>二季度</c:v>
                </c:pt>
                <c:pt idx="2">
                  <c:v>三季度</c:v>
                </c:pt>
                <c:pt idx="3">
                  <c:v>四季度</c:v>
                </c:pt>
              </c:strCache>
            </c:strRef>
          </c:cat>
          <c:val>
            <c:numRef>
              <c:f>'Sheet1'!$B$2:$B$5</c:f>
              <c:numCache>
                <c:formatCode>General</c:formatCode>
                <c:ptCount val="4"/>
                <c:pt idx="0">
                  <c:v>4.7</c:v>
                </c:pt>
                <c:pt idx="1">
                  <c:v>25.1</c:v>
                </c:pt>
                <c:pt idx="2">
                  <c:v>62.6</c:v>
                </c:pt>
                <c:pt idx="3">
                  <c:v>101.2</c:v>
                </c:pt>
              </c:numCache>
            </c:numRef>
          </c:val>
        </c:ser>
        <c:overlap val="-27"/>
        <c:gapWidth val="219"/>
        <c:axId val="0"/>
        <c:axId val="1"/>
      </c:barChart>
      <c:lineChart>
        <c:grouping val="standard"/>
        <c:varyColors val="0"/>
        <c:ser>
          <c:idx val="2"/>
          <c:order val="1"/>
          <c:tx>
            <c:strRef>
              <c:f>'Sheet1'!$C$1</c:f>
              <c:strCache>
                <c:ptCount val="1"/>
                <c:pt idx="0">
                  <c:v>  同比（%）</c:v>
                </c:pt>
              </c:strCache>
            </c:strRef>
          </c:tx>
          <c:spPr>
            <a:ln w="25400">
              <a:solidFill>
                <a:srgbClr val="FF0000"/>
              </a:solidFill>
              <a:prstDash val="solid"/>
            </a:ln>
          </c:spPr>
          <c:marker>
            <c:symbol val="none"/>
          </c:marker>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1"/>
            <c:dLblPos val="r"/>
            <c:showLegendKey val="0"/>
            <c:showVal val="1"/>
            <c:showCatName val="0"/>
            <c:showSerName val="0"/>
            <c:showPercent val="0"/>
            <c:showBubbleSize val="0"/>
            <c:showLeaderLines val="0"/>
          </c:dLbls>
          <c:cat>
            <c:strRef>
              <c:f>'Sheet1'!$A$2:$A$5</c:f>
              <c:strCache>
                <c:ptCount val="4"/>
                <c:pt idx="0">
                  <c:v>一季度</c:v>
                </c:pt>
                <c:pt idx="1">
                  <c:v>二季度</c:v>
                </c:pt>
                <c:pt idx="2">
                  <c:v>三季度</c:v>
                </c:pt>
                <c:pt idx="3">
                  <c:v>四季度</c:v>
                </c:pt>
              </c:strCache>
            </c:strRef>
          </c:cat>
          <c:val>
            <c:numRef>
              <c:f>'Sheet1'!$C$2:$C$5</c:f>
              <c:numCache>
                <c:formatCode>General</c:formatCode>
                <c:ptCount val="4"/>
                <c:pt idx="0">
                  <c:v>18.1</c:v>
                </c:pt>
                <c:pt idx="1">
                  <c:v>-0.6</c:v>
                </c:pt>
                <c:pt idx="2">
                  <c:v>1.5</c:v>
                </c:pt>
                <c:pt idx="3">
                  <c:v>2.5</c:v>
                </c:pt>
              </c:numCache>
            </c:numRef>
          </c:val>
          <c:smooth val="0"/>
        </c:ser>
        <c:marker val="1"/>
        <c:smooth val="0"/>
        <c:axId val="2"/>
        <c:axId val="3"/>
      </c:line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1"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1" i="0" u="none" strike="noStrike" baseline="0">
                <a:solidFill>
                  <a:srgbClr val="595959"/>
                </a:solidFill>
                <a:latin typeface="Times New Roman"/>
                <a:ea typeface="宋体"/>
                <a:cs typeface="Lucida Sans"/>
              </a:defRPr>
            </a:pPr>
            <a:endParaRPr lang="zh-CN"/>
          </a:p>
        </c:txPr>
        <c:crossesAt val="1.0"/>
        <c:crossBetween val="between"/>
        <c:crossAx val="0"/>
      </c:valAx>
      <c:catAx>
        <c:axId val="2"/>
        <c:scaling>
          <c:orientation val="minMax"/>
        </c:scaling>
        <c:delete val="1"/>
        <c:axPos val="t"/>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 val="autoZero"/>
        <c:auto val="1"/>
        <c:lblOffset val="100"/>
        <c:lblAlgn val="ctr"/>
        <c:noMultiLvlLbl val="0"/>
        <c:crossAx val="3"/>
      </c:catAx>
      <c:valAx>
        <c:axId val="3"/>
        <c:scaling>
          <c:orientation val="minMax"/>
        </c:scaling>
        <c:delete val="0"/>
        <c:axPos val="r"/>
        <c:numFmt formatCode="General" sourceLinked="1"/>
        <c:majorTickMark val="out"/>
        <c:minorTickMark val="none"/>
        <c:tickLblPos val="nextTo"/>
        <c:spPr>
          <a:ln>
            <a:noFill/>
          </a:ln>
        </c:spPr>
        <c:txPr>
          <a:bodyPr/>
          <a:lstStyle/>
          <a:p>
            <a:pPr>
              <a:defRPr sz="900" b="1" i="0" u="none" strike="noStrike" baseline="0">
                <a:solidFill>
                  <a:srgbClr val="595959"/>
                </a:solidFill>
                <a:latin typeface="Times New Roman"/>
                <a:ea typeface="宋体"/>
                <a:cs typeface="Lucida Sans"/>
              </a:defRPr>
            </a:pPr>
            <a:endParaRPr lang="zh-CN"/>
          </a:p>
        </c:txPr>
        <c:crosses val="max"/>
        <c:crossBetween val="between"/>
        <c:crossAx val="2"/>
      </c:valAx>
      <c:spPr>
        <a:noFill/>
        <a:ln>
          <a:noFill/>
        </a:ln>
      </c:spPr>
    </c:plotArea>
    <c:legend>
      <c:legendPos val="b"/>
      <c:layout>
        <c:manualLayout>
          <c:xMode val="edge"/>
          <c:yMode val="edge"/>
          <c:x val="0.23001808"/>
          <c:y val="0.8810063"/>
          <c:w val="0.5951778"/>
          <c:h val="0.084528305"/>
        </c:manualLayout>
      </c:layout>
      <c:overlay val="0"/>
      <c:spPr>
        <a:noFill/>
        <a:ln>
          <a:noFill/>
        </a:ln>
      </c:spPr>
      <c:txPr>
        <a:bodyPr/>
        <a:lstStyle/>
        <a:p>
          <a:pPr>
            <a:defRPr sz="900" b="1"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0" i="0" u="none" strike="noStrike" baseline="0">
                <a:solidFill>
                  <a:srgbClr val="595959"/>
                </a:solidFill>
                <a:latin typeface="Times New Roman"/>
                <a:ea typeface="宋体"/>
                <a:cs typeface="Lucida Sans"/>
              </a:rPr>
              <a:t>1-12</a:t>
            </a:r>
            <a:r>
              <a:rPr lang="zh-CN" sz="1400" b="0" i="0" u="none" strike="noStrike" baseline="0">
                <a:solidFill>
                  <a:srgbClr val="595959"/>
                </a:solidFill>
                <a:latin typeface="Times New Roman"/>
                <a:ea typeface="宋体"/>
                <a:cs typeface="Lucida Sans"/>
              </a:rPr>
              <a:t>月份固定资产投资完成情况</a:t>
            </a:r>
          </a:p>
        </c:rich>
      </c:tx>
      <c:layout/>
      <c:overlay val="0"/>
      <c:spPr>
        <a:noFill/>
        <a:ln>
          <a:noFill/>
        </a:ln>
      </c:spPr>
    </c:title>
    <c:autoTitleDeleted val="1"/>
    <c:plotArea>
      <c:layout/>
      <c:barChart>
        <c:barDir val="col"/>
        <c:grouping val="clustered"/>
        <c:varyColors val="0"/>
        <c:ser>
          <c:idx val="0"/>
          <c:order val="0"/>
          <c:tx>
            <c:v>总量</c:v>
          </c:tx>
          <c:spPr>
            <a:solidFill>
              <a:srgbClr val="5B9BD5"/>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3"/>
              <c:pt idx="0">
                <c:v>全区投资</c:v>
              </c:pt>
              <c:pt idx="1">
                <c:v>500万元以上项目</c:v>
              </c:pt>
              <c:pt idx="2">
                <c:v>房地产项目</c:v>
              </c:pt>
            </c:strLit>
          </c:cat>
          <c:val>
            <c:numRef>
              <c:f/>
              <c:numCache>
                <c:formatCode>General</c:formatCode>
                <c:ptCount val="3"/>
                <c:pt idx="0">
                  <c:v>120.7</c:v>
                </c:pt>
                <c:pt idx="1">
                  <c:v>99.1</c:v>
                </c:pt>
                <c:pt idx="2">
                  <c:v>21.5</c:v>
                </c:pt>
              </c:numCache>
            </c:numRef>
          </c:val>
        </c:ser>
        <c:overlap val="-27"/>
        <c:gapWidth val="219"/>
        <c:axId val="0"/>
        <c:axId val="1"/>
      </c:barChart>
      <c:lineChart>
        <c:grouping val="standard"/>
        <c:varyColors val="0"/>
        <c:ser>
          <c:idx val="1"/>
          <c:order val="1"/>
          <c:tx>
            <c:v>同比增速</c:v>
          </c:tx>
          <c:spPr>
            <a:ln w="25400">
              <a:solidFill>
                <a:srgbClr val="ED7D31"/>
              </a:solidFill>
              <a:prstDash val="solid"/>
            </a:ln>
          </c:spPr>
          <c:marker>
            <c:symbol val="none"/>
          </c:marker>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0"/>
            <c:dLbl>
              <c:idx val="0"/>
              <c:numFmt formatCode="0%" sourceLinked="0"/>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r"/>
              <c:tx>
                <c:rich>
                  <a:bodyPr vert="horz"/>
                  <a:lstStyle/>
                  <a:p>
                    <a:pPr>
                      <a:defRPr sz="900" b="0" i="0" u="none" strike="noStrike" baseline="0">
                        <a:solidFill>
                          <a:srgbClr val="404040"/>
                        </a:solidFill>
                        <a:latin typeface="Times New Roman"/>
                        <a:ea typeface="宋体"/>
                        <a:cs typeface="Lucida Sans"/>
                      </a:defRPr>
                    </a:pPr>
                    <a:r>
                      <a:rPr lang="zh-CN" sz="900" b="0" i="0" u="none" strike="noStrike" baseline="0">
                        <a:solidFill>
                          <a:srgbClr val="404040"/>
                        </a:solidFill>
                        <a:latin typeface="Times New Roman"/>
                        <a:ea typeface="宋体"/>
                        <a:cs typeface="Lucida Sans"/>
                      </a:rPr>
                      <a:t>-</a:t>
                    </a:r>
                    <a:r>
                      <a:rPr lang="zh-CN" sz="900" b="0" i="0" u="none" strike="noStrike" baseline="0">
                        <a:solidFill>
                          <a:srgbClr val="404040"/>
                        </a:solidFill>
                        <a:latin typeface="Times New Roman"/>
                        <a:ea typeface="宋体"/>
                        <a:cs typeface="Lucida Sans"/>
                      </a:rPr>
                      <a:t>3%</a:t>
                    </a:r>
                  </a:p>
                </c:rich>
              </c:tx>
              <c:showLegendKey val="0"/>
              <c:showVal val="1"/>
              <c:showCatName val="0"/>
              <c:showSerName val="0"/>
              <c:showPercent val="0"/>
              <c:showBubbleSize val="0"/>
            </c:dLbl>
            <c:dLblPos val="r"/>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3"/>
              <c:pt idx="0">
                <c:v>全区投资</c:v>
              </c:pt>
              <c:pt idx="1">
                <c:v>500万元以上项目</c:v>
              </c:pt>
              <c:pt idx="2">
                <c:v>房地产项目</c:v>
              </c:pt>
            </c:strLit>
          </c:cat>
          <c:val>
            <c:numRef>
              <c:f/>
              <c:numCache>
                <c:formatCode>General</c:formatCode>
                <c:ptCount val="3"/>
                <c:pt idx="0">
                  <c:v>-0.06</c:v>
                </c:pt>
                <c:pt idx="1">
                  <c:v>0.168</c:v>
                </c:pt>
                <c:pt idx="2">
                  <c:v>-0.504</c:v>
                </c:pt>
              </c:numCache>
            </c:numRef>
          </c:val>
          <c:smooth val="0"/>
        </c:ser>
        <c:marker val="1"/>
        <c:smooth val="0"/>
        <c:axId val="2"/>
        <c:axId val="3"/>
      </c:line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catAx>
        <c:axId val="2"/>
        <c:scaling>
          <c:orientation val="minMax"/>
        </c:scaling>
        <c:delete val="1"/>
        <c:axPos val="t"/>
        <c:numFmt formatCode="General" sourceLinked="1"/>
        <c:majorTickMark val="out"/>
        <c:minorTickMark val="none"/>
        <c:tickLblPos val="nextTo"/>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3"/>
      </c:catAx>
      <c:valAx>
        <c:axId val="3"/>
        <c:scaling>
          <c:orientation val="minMax"/>
        </c:scaling>
        <c:delete val="0"/>
        <c:axPos val="r"/>
        <c:numFmt formatCode="0%" sourceLinked="1"/>
        <c:majorTickMark val="out"/>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 val="max"/>
        <c:crossBetween val="between"/>
        <c:crossAx val="2"/>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gradFill rotWithShape="1">
      <a:gsLst>
        <a:gs pos="0">
          <a:srgbClr val="F7FAFD">
            <a:alpha val="100000"/>
          </a:srgbClr>
        </a:gs>
        <a:gs pos="74000">
          <a:srgbClr val="B5D2EC">
            <a:alpha val="100000"/>
          </a:srgbClr>
        </a:gs>
        <a:gs pos="83000">
          <a:srgbClr val="B5D2EC">
            <a:alpha val="100000"/>
          </a:srgbClr>
        </a:gs>
        <a:gs pos="100000">
          <a:srgbClr val="CEE1F2">
            <a:alpha val="100000"/>
          </a:srgbClr>
        </a:gs>
      </a:gsLst>
      <a:lin ang="5400000" scaled="1"/>
    </a:gra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0" i="0" u="none" strike="noStrike" baseline="0">
                <a:solidFill>
                  <a:srgbClr val="595959"/>
                </a:solidFill>
                <a:latin typeface="Times New Roman"/>
                <a:ea typeface="宋体"/>
                <a:cs typeface="Lucida Sans"/>
              </a:rPr>
              <a:t>1-12</a:t>
            </a:r>
            <a:r>
              <a:rPr lang="zh-CN" sz="1400" b="0" i="0" u="none" strike="noStrike" baseline="0">
                <a:solidFill>
                  <a:srgbClr val="595959"/>
                </a:solidFill>
                <a:latin typeface="Times New Roman"/>
                <a:ea typeface="宋体"/>
                <a:cs typeface="Lucida Sans"/>
              </a:rPr>
              <a:t>月限额以上社零额总量、增速分布</a:t>
            </a:r>
          </a:p>
        </c:rich>
      </c:tx>
      <c:layout/>
      <c:overlay val="0"/>
      <c:spPr>
        <a:noFill/>
        <a:ln>
          <a:noFill/>
        </a:ln>
      </c:spPr>
    </c:title>
    <c:autoTitleDeleted val="1"/>
    <c:plotArea>
      <c:layout>
        <c:manualLayout>
          <c:layoutTarget val="inner"/>
          <c:xMode val="edge"/>
          <c:yMode val="edge"/>
          <c:x val="0.059799757"/>
          <c:y val="0.13030404"/>
          <c:w val="0.87362546"/>
          <c:h val="0.7594387"/>
        </c:manualLayout>
      </c:layout>
      <c:barChart>
        <c:barDir val="col"/>
        <c:grouping val="clustered"/>
        <c:varyColors val="0"/>
        <c:ser>
          <c:idx val="0"/>
          <c:order val="0"/>
          <c:tx>
            <c:strRef>
              <c:f>'Sheet1 (2)'!$B$1</c:f>
              <c:strCache>
                <c:ptCount val="1"/>
                <c:pt idx="0">
                  <c:v>总量(亿元)</c:v>
                </c:pt>
              </c:strCache>
            </c:strRef>
          </c:tx>
          <c:spPr>
            <a:solidFill>
              <a:srgbClr val="5B9BD5"/>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(2)'!$A$2:$A$12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'Sheet1 (2)'!$B$2:$B$12</c:f>
              <c:numCache>
                <c:formatCode>General</c:formatCode>
                <c:ptCount val="11"/>
                <c:pt idx="0">
                  <c:v>31.8</c:v>
                </c:pt>
                <c:pt idx="1">
                  <c:v>38.7</c:v>
                </c:pt>
                <c:pt idx="2">
                  <c:v>43.3</c:v>
                </c:pt>
                <c:pt idx="3">
                  <c:v>58.2</c:v>
                </c:pt>
                <c:pt idx="4">
                  <c:v>89.8</c:v>
                </c:pt>
                <c:pt idx="5">
                  <c:v>108.6</c:v>
                </c:pt>
                <c:pt idx="6">
                  <c:v>126.1</c:v>
                </c:pt>
                <c:pt idx="7">
                  <c:v>149.8</c:v>
                </c:pt>
                <c:pt idx="8">
                  <c:v>169.6</c:v>
                </c:pt>
                <c:pt idx="9">
                  <c:v>189.9</c:v>
                </c:pt>
                <c:pt idx="10">
                  <c:v>210.4</c:v>
                </c:pt>
              </c:numCache>
            </c:numRef>
          </c:val>
        </c:ser>
        <c:overlap val="-27"/>
        <c:gapWidth val="219"/>
        <c:axId val="0"/>
        <c:axId val="1"/>
      </c:barChart>
      <c:lineChart>
        <c:grouping val="standard"/>
        <c:varyColors val="0"/>
        <c:ser>
          <c:idx val="1"/>
          <c:order val="1"/>
          <c:tx>
            <c:strRef>
              <c:f>'Sheet1 (2)'!$C$1</c:f>
              <c:strCache>
                <c:ptCount val="1"/>
                <c:pt idx="0">
                  <c:v>增速（%）</c:v>
                </c:pt>
              </c:strCache>
            </c:strRef>
          </c:tx>
          <c:spPr>
            <a:ln w="25400">
              <a:solidFill>
                <a:srgbClr val="ED7D31"/>
              </a:solidFill>
              <a:prstDash val="solid"/>
            </a:ln>
          </c:spPr>
          <c:marker>
            <c:symbol val="circle"/>
            <c:size val="5"/>
            <c:spPr>
              <a:solidFill>
                <a:srgbClr val="ed7d31"/>
              </a:solidFill>
              <a:ln>
                <a:solidFill>
                  <a:srgbClr val="ed7d31"/>
                </a:solidFill>
                <a:prstDash val="solid"/>
              </a:ln>
            </c:spPr>
          </c:marker>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
              <c:idx val="4"/>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r"/>
              <c:showLegendKey val="0"/>
              <c:showVal val="1"/>
              <c:showCatName val="0"/>
              <c:showSerName val="0"/>
              <c:showPercent val="0"/>
              <c:showBubbleSize val="0"/>
            </c:dLbl>
            <c:dLbl>
              <c:idx val="5"/>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r"/>
              <c:showLegendKey val="0"/>
              <c:showVal val="1"/>
              <c:showCatName val="0"/>
              <c:showSerName val="0"/>
              <c:showPercent val="0"/>
              <c:showBubbleSize val="0"/>
            </c:dLbl>
            <c:dLbl>
              <c:idx val="6"/>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r"/>
              <c:showLegendKey val="0"/>
              <c:showVal val="1"/>
              <c:showCatName val="0"/>
              <c:showSerName val="0"/>
              <c:showPercent val="0"/>
              <c:showBubbleSize val="0"/>
            </c:dLbl>
            <c:dLbl>
              <c:idx val="7"/>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r"/>
              <c:showLegendKey val="0"/>
              <c:showVal val="1"/>
              <c:showCatName val="0"/>
              <c:showSerName val="0"/>
              <c:showPercent val="0"/>
              <c:showBubbleSize val="0"/>
            </c:dLbl>
            <c:dLbl>
              <c:idx val="8"/>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r"/>
              <c:showLegendKey val="0"/>
              <c:showVal val="1"/>
              <c:showCatName val="0"/>
              <c:showSerName val="0"/>
              <c:showPercent val="0"/>
              <c:showBubbleSize val="0"/>
            </c:dLbl>
            <c:dLbl>
              <c:idx val="9"/>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r"/>
              <c:showLegendKey val="0"/>
              <c:showVal val="1"/>
              <c:showCatName val="0"/>
              <c:showSerName val="0"/>
              <c:showPercent val="0"/>
              <c:showBubbleSize val="0"/>
            </c:dLbl>
            <c:dLbl>
              <c:idx val="10"/>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r"/>
              <c:showLegendKey val="0"/>
              <c:showVal val="1"/>
              <c:showCatName val="0"/>
              <c:showSerName val="0"/>
              <c:showPercent val="0"/>
              <c:showBubbleSize val="0"/>
            </c:dLbl>
            <c:dLblPos val="r"/>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(2)'!$A$2:$A$12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'Sheet1 (2)'!$C$2:$C$12</c:f>
              <c:numCache>
                <c:formatCode>General</c:formatCode>
                <c:ptCount val="11"/>
                <c:pt idx="0">
                  <c:v>24.0</c:v>
                </c:pt>
                <c:pt idx="1">
                  <c:v>-10.2</c:v>
                </c:pt>
                <c:pt idx="2">
                  <c:v>-32.0</c:v>
                </c:pt>
                <c:pt idx="3">
                  <c:v>-26.0</c:v>
                </c:pt>
                <c:pt idx="4">
                  <c:v>-14.8</c:v>
                </c:pt>
                <c:pt idx="5">
                  <c:v>-11.4</c:v>
                </c:pt>
                <c:pt idx="6">
                  <c:v>-8.1</c:v>
                </c:pt>
                <c:pt idx="7">
                  <c:v>-6.3</c:v>
                </c:pt>
                <c:pt idx="8">
                  <c:v>-4.7</c:v>
                </c:pt>
                <c:pt idx="9">
                  <c:v>-5.2</c:v>
                </c:pt>
                <c:pt idx="10">
                  <c:v>-6.7</c:v>
                </c:pt>
              </c:numCache>
            </c:numRef>
          </c:val>
          <c:smooth val="0"/>
        </c:ser>
        <c:marker val="1"/>
        <c:smooth val="0"/>
        <c:axId val="2"/>
        <c:axId val="3"/>
      </c:lineChart>
      <c:catAx>
        <c:axId val="0"/>
        <c:scaling>
          <c:orientation val="minMax"/>
        </c:scaling>
        <c:delete val="1"/>
        <c:axPos val="b"/>
        <c:numFmt formatCode="General" sourceLinked="1"/>
        <c:majorTickMark val="out"/>
        <c:minorTickMark val="none"/>
        <c:tickLblPos val="nextTo"/>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numFmt formatCode="General" sourceLinked="1"/>
        <c:majorTickMark val="out"/>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 val="max"/>
        <c:crossBetween val="between"/>
        <c:crossAx val="0"/>
      </c:valAx>
      <c:dateAx>
        <c:axId val="2"/>
        <c:scaling>
          <c:orientation val="minMax"/>
        </c:scaling>
        <c:delete val="0"/>
        <c:axPos val="t"/>
        <c:numFmt formatCode="General" sourceLinked="1"/>
        <c:majorTickMark val="none"/>
        <c:minorTickMark val="none"/>
        <c:tickLblPos val="low"/>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0"/>
        <c:lblOffset val="100"/>
        <c:baseTimeUnit val="days"/>
        <c:crossAx val="3"/>
      </c:dateAx>
      <c:valAx>
        <c:axId val="3"/>
        <c:scaling>
          <c:orientation val="minMax"/>
        </c:scaling>
        <c:delete val="0"/>
        <c:axPos val="r"/>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 val="max"/>
        <c:crossBetween val="between"/>
        <c:crossAx val="2"/>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D3434A1-8F96-454B-B55B-16BA1F7DEC8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Yozo_Office27021597764231179</Application>
  <Pages>9</Pages>
  <Words>2673</Words>
  <Characters>3270</Characters>
  <Lines>198</Lines>
  <Paragraphs>97</Paragraphs>
  <CharactersWithSpaces>3750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jhuser</dc:creator>
  <cp:lastModifiedBy>user</cp:lastModifiedBy>
  <cp:revision>20</cp:revision>
  <cp:lastPrinted>2020-03-06T06:26:00Z</cp:lastPrinted>
  <dcterms:created xsi:type="dcterms:W3CDTF">2020-06-18T03:01:00Z</dcterms:created>
  <dcterms:modified xsi:type="dcterms:W3CDTF">2023-09-07T06:35:15Z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B4A8D4CCF43D4F3FB1C4425C5914BE57_13</vt:lpwstr>
  </property>
</Properties>
</file>