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r>
        <w:rPr>
          <w:rFonts w:asciiTheme="majorEastAsia" w:hAnsiTheme="majorEastAsia" w:eastAsiaTheme="majorEastAsia"/>
          <w:b/>
          <w:sz w:val="36"/>
          <w:szCs w:val="36"/>
        </w:rPr>
        <w:t>国家税务总局长春高新技术产业开发区税务局</w:t>
      </w:r>
    </w:p>
    <w:p>
      <w:pPr>
        <w:jc w:val="center"/>
        <w:rPr>
          <w:rFonts w:asciiTheme="majorEastAsia" w:hAnsiTheme="majorEastAsia" w:eastAsiaTheme="majorEastAsia"/>
          <w:b/>
          <w:sz w:val="36"/>
          <w:szCs w:val="36"/>
        </w:rPr>
      </w:pPr>
      <w:r>
        <w:rPr>
          <w:rFonts w:asciiTheme="majorEastAsia" w:hAnsiTheme="majorEastAsia" w:eastAsiaTheme="majorEastAsia"/>
          <w:b/>
          <w:sz w:val="36"/>
          <w:szCs w:val="36"/>
        </w:rPr>
        <w:t>20</w:t>
      </w:r>
      <w:r>
        <w:rPr>
          <w:rFonts w:hint="eastAsia" w:asciiTheme="majorEastAsia" w:hAnsiTheme="majorEastAsia" w:eastAsiaTheme="majorEastAsia"/>
          <w:b/>
          <w:sz w:val="36"/>
          <w:szCs w:val="36"/>
        </w:rPr>
        <w:t>20</w:t>
      </w:r>
      <w:r>
        <w:rPr>
          <w:rFonts w:asciiTheme="majorEastAsia" w:hAnsiTheme="majorEastAsia" w:eastAsiaTheme="majorEastAsia"/>
          <w:b/>
          <w:sz w:val="36"/>
          <w:szCs w:val="36"/>
        </w:rPr>
        <w:t>年政府信息公开工作年度报告</w:t>
      </w:r>
    </w:p>
    <w:p>
      <w:pPr>
        <w:jc w:val="center"/>
        <w:rPr>
          <w:rFonts w:asciiTheme="majorEastAsia" w:hAnsiTheme="majorEastAsia" w:eastAsiaTheme="majorEastAsia"/>
          <w:b/>
          <w:sz w:val="36"/>
          <w:szCs w:val="36"/>
        </w:rPr>
      </w:pPr>
    </w:p>
    <w:p>
      <w:pPr>
        <w:pStyle w:val="4"/>
        <w:spacing w:before="0" w:beforeAutospacing="0" w:after="0" w:afterAutospacing="0" w:line="360" w:lineRule="exact"/>
        <w:jc w:val="both"/>
      </w:pPr>
      <w:r>
        <w:rPr>
          <w:rFonts w:hint="eastAsia"/>
        </w:rPr>
        <w:t xml:space="preserve">    </w:t>
      </w:r>
      <w:r>
        <w:t>根据《中华人民共和国政府信息公开条例》(国务院令第711号)(以下简称《条例》),特向社会公布20</w:t>
      </w:r>
      <w:r>
        <w:rPr>
          <w:rFonts w:hint="eastAsia"/>
        </w:rPr>
        <w:t>20</w:t>
      </w:r>
      <w:r>
        <w:t>年度国家税务总局长春高新技术产业开发区税务局政府信息公开年度报告</w:t>
      </w:r>
      <w:r>
        <w:rPr>
          <w:rFonts w:hint="eastAsia"/>
        </w:rPr>
        <w:t>。</w:t>
      </w:r>
      <w:r>
        <w:t>全文由总体情况</w:t>
      </w:r>
      <w:r>
        <w:rPr>
          <w:rFonts w:hint="eastAsia"/>
        </w:rPr>
        <w:t>，</w:t>
      </w:r>
      <w:r>
        <w:t>主动公开政府信息情况, 收到和处理政府信息公开申请情况, 政府信息公开行政复议、行政诉讼情况</w:t>
      </w:r>
      <w:r>
        <w:rPr>
          <w:rFonts w:hint="eastAsia"/>
        </w:rPr>
        <w:t>，</w:t>
      </w:r>
      <w:r>
        <w:t>存在的主要问题及改进情况等</w:t>
      </w:r>
      <w:r>
        <w:rPr>
          <w:rFonts w:hint="eastAsia"/>
        </w:rPr>
        <w:t>，</w:t>
      </w:r>
      <w:r>
        <w:t>共五个部分。</w:t>
      </w:r>
      <w:bookmarkStart w:id="0" w:name="_GoBack"/>
      <w:bookmarkEnd w:id="0"/>
    </w:p>
    <w:p>
      <w:pPr>
        <w:pStyle w:val="4"/>
        <w:spacing w:before="0" w:beforeAutospacing="0" w:after="0" w:afterAutospacing="0" w:line="360" w:lineRule="exact"/>
        <w:jc w:val="both"/>
      </w:pPr>
      <w:r>
        <w:t>　　本报告中所列数据的统计期限自20</w:t>
      </w:r>
      <w:r>
        <w:rPr>
          <w:rFonts w:hint="eastAsia"/>
        </w:rPr>
        <w:t>20</w:t>
      </w:r>
      <w:r>
        <w:t>年1月1日起至20</w:t>
      </w:r>
      <w:r>
        <w:rPr>
          <w:rFonts w:hint="eastAsia"/>
        </w:rPr>
        <w:t>20</w:t>
      </w:r>
      <w:r>
        <w:t>年12月31日止。本报告电子版可以在国家税务总局吉林省税务局门户网站信息公开栏目中下载。</w:t>
      </w:r>
      <w:r>
        <w:rPr>
          <w:rFonts w:hint="eastAsia"/>
        </w:rPr>
        <w:t>(http://jilin.chinatax.gov.cn/col/col296/index.html)</w:t>
      </w:r>
    </w:p>
    <w:p>
      <w:pPr>
        <w:spacing w:line="360" w:lineRule="exact"/>
        <w:jc w:val="both"/>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 xml:space="preserve">    一、总体情况</w:t>
      </w:r>
    </w:p>
    <w:p>
      <w:pPr>
        <w:pStyle w:val="4"/>
        <w:spacing w:before="0" w:beforeAutospacing="0" w:after="0" w:afterAutospacing="0" w:line="360" w:lineRule="exact"/>
        <w:jc w:val="both"/>
      </w:pPr>
      <w:r>
        <w:rPr>
          <w:rFonts w:hint="eastAsia" w:asciiTheme="minorEastAsia" w:hAnsiTheme="minorEastAsia"/>
        </w:rPr>
        <w:t xml:space="preserve">   </w:t>
      </w:r>
      <w:r>
        <w:rPr>
          <w:rFonts w:hint="eastAsia"/>
        </w:rPr>
        <w:t xml:space="preserve"> </w:t>
      </w:r>
      <w:r>
        <w:t>20</w:t>
      </w:r>
      <w:r>
        <w:rPr>
          <w:rFonts w:hint="eastAsia"/>
        </w:rPr>
        <w:t>20</w:t>
      </w:r>
      <w:r>
        <w:t>年, 国家税务总局长春高新技术产业开发区税务局在</w:t>
      </w:r>
      <w:r>
        <w:rPr>
          <w:rFonts w:hint="eastAsia"/>
        </w:rPr>
        <w:t>长春</w:t>
      </w:r>
      <w:r>
        <w:t>市税务局和长春新区管委会的正确领导下</w:t>
      </w:r>
      <w:r>
        <w:rPr>
          <w:rFonts w:hint="eastAsia"/>
        </w:rPr>
        <w:t>，</w:t>
      </w:r>
      <w:r>
        <w:t>严格落实《条例》</w:t>
      </w:r>
      <w:r>
        <w:rPr>
          <w:rFonts w:hint="eastAsia"/>
        </w:rPr>
        <w:t>，</w:t>
      </w:r>
      <w:r>
        <w:t>按照各级关于信息公开工作的要求</w:t>
      </w:r>
      <w:r>
        <w:rPr>
          <w:rFonts w:hint="eastAsia"/>
        </w:rPr>
        <w:t>，</w:t>
      </w:r>
      <w:r>
        <w:t>结合长春新区税务工作实际</w:t>
      </w:r>
      <w:r>
        <w:rPr>
          <w:rFonts w:hint="eastAsia"/>
        </w:rPr>
        <w:t>，</w:t>
      </w:r>
      <w:r>
        <w:t>拓展政府信息公开内容</w:t>
      </w:r>
      <w:r>
        <w:rPr>
          <w:rFonts w:hint="eastAsia"/>
        </w:rPr>
        <w:t>，</w:t>
      </w:r>
      <w:r>
        <w:t>创新政府信息公开形式</w:t>
      </w:r>
      <w:r>
        <w:rPr>
          <w:rFonts w:hint="eastAsia"/>
        </w:rPr>
        <w:t>，</w:t>
      </w:r>
      <w:r>
        <w:t>强化政府信息公开监督</w:t>
      </w:r>
      <w:r>
        <w:rPr>
          <w:rFonts w:hint="eastAsia"/>
        </w:rPr>
        <w:t>，</w:t>
      </w:r>
      <w:r>
        <w:t>全面推进决策</w:t>
      </w:r>
      <w:r>
        <w:rPr>
          <w:rFonts w:hint="eastAsia"/>
        </w:rPr>
        <w:t>、</w:t>
      </w:r>
      <w:r>
        <w:t>执行、管理、服务、结果公开</w:t>
      </w:r>
      <w:r>
        <w:rPr>
          <w:rFonts w:hint="eastAsia"/>
        </w:rPr>
        <w:t>，</w:t>
      </w:r>
      <w:r>
        <w:t>加强税收政策发布、解读和回应</w:t>
      </w:r>
      <w:r>
        <w:rPr>
          <w:rFonts w:hint="eastAsia"/>
        </w:rPr>
        <w:t>，</w:t>
      </w:r>
      <w:r>
        <w:t>有效发挥了政府信息对经济社会活动的服务作用</w:t>
      </w:r>
      <w:r>
        <w:rPr>
          <w:rFonts w:hint="eastAsia"/>
        </w:rPr>
        <w:t>，</w:t>
      </w:r>
      <w:r>
        <w:t>助力深化改革、经济发展和民生改善。</w:t>
      </w:r>
    </w:p>
    <w:p>
      <w:pPr>
        <w:spacing w:line="360" w:lineRule="exact"/>
        <w:jc w:val="both"/>
        <w:rPr>
          <w:rFonts w:ascii="宋体" w:hAnsi="宋体" w:eastAsia="宋体" w:cs="宋体"/>
          <w:kern w:val="0"/>
          <w:sz w:val="24"/>
          <w:szCs w:val="24"/>
        </w:rPr>
      </w:pPr>
      <w:r>
        <w:rPr>
          <w:rFonts w:ascii="宋体" w:hAnsi="宋体" w:eastAsia="宋体" w:cs="宋体"/>
          <w:kern w:val="0"/>
          <w:sz w:val="24"/>
          <w:szCs w:val="24"/>
        </w:rPr>
        <w:t>　　(一)</w:t>
      </w:r>
      <w:r>
        <w:rPr>
          <w:rFonts w:hint="eastAsia" w:ascii="宋体" w:hAnsi="宋体" w:eastAsia="宋体" w:cs="宋体"/>
          <w:kern w:val="0"/>
          <w:sz w:val="24"/>
          <w:szCs w:val="24"/>
        </w:rPr>
        <w:t>完成基层政务公开事项目录信息录入工作。按照国家、省、市相关部门关于基层政务公开标准化规范化工作的部署和《长春新区全面推进基层政务公开标准化规范化工作实施方案》的具体要求，将职责范围内的《基层政务公开标准目录》逐项完整录至“吉林省基层政务公开事项查询系统”，在完成税收管理领域基层政务公开标准目录16条的基础之上，配合做好长春新区政府信息公开专栏升级改造工作，添加主题分类20余项，积极参与推进长春市基层政务公开事项查询系统上线。</w:t>
      </w:r>
    </w:p>
    <w:p>
      <w:pPr>
        <w:pStyle w:val="4"/>
        <w:spacing w:before="0" w:beforeAutospacing="0" w:after="0" w:afterAutospacing="0" w:line="360" w:lineRule="exact"/>
        <w:jc w:val="both"/>
      </w:pPr>
      <w:r>
        <w:t>　　(二)推进税收政策信息公开。20</w:t>
      </w:r>
      <w:r>
        <w:rPr>
          <w:rFonts w:hint="eastAsia"/>
        </w:rPr>
        <w:t>20</w:t>
      </w:r>
      <w:r>
        <w:t>年,我局对总局发布的重要税收政策和政策解读进行了宣传。特别是在保留公益广告屏、办税服务厅宣传栏等实体宣传平台的基础上，</w:t>
      </w:r>
      <w:r>
        <w:rPr>
          <w:rFonts w:hint="eastAsia"/>
        </w:rPr>
        <w:t>充分利用</w:t>
      </w:r>
      <w:r>
        <w:t>“长春高新税务——超级税话”节目，超级税话共播出音频节目</w:t>
      </w:r>
      <w:r>
        <w:rPr>
          <w:rFonts w:hint="eastAsia"/>
        </w:rPr>
        <w:t>111</w:t>
      </w:r>
      <w:r>
        <w:t>期</w:t>
      </w:r>
      <w:r>
        <w:rPr>
          <w:rFonts w:hint="eastAsia"/>
        </w:rPr>
        <w:t>，</w:t>
      </w:r>
      <w:r>
        <w:t>累计播放量已达</w:t>
      </w:r>
      <w:r>
        <w:rPr>
          <w:rFonts w:hint="eastAsia"/>
        </w:rPr>
        <w:t>350</w:t>
      </w:r>
      <w:r>
        <w:t>万余人次。另外开展网络直播活动</w:t>
      </w:r>
      <w:r>
        <w:rPr>
          <w:rFonts w:hint="eastAsia"/>
        </w:rPr>
        <w:t>44</w:t>
      </w:r>
      <w:r>
        <w:t>次，视频累计播放量达</w:t>
      </w:r>
      <w:r>
        <w:rPr>
          <w:rFonts w:hint="eastAsia"/>
        </w:rPr>
        <w:t>500</w:t>
      </w:r>
      <w:r>
        <w:t>万余人次,</w:t>
      </w:r>
      <w:r>
        <w:rPr>
          <w:rFonts w:hint="eastAsia"/>
        </w:rPr>
        <w:t>确保疫情期间企业不出门也可以了解最新税收政策，</w:t>
      </w:r>
      <w:r>
        <w:t>有力推进税收政策信息公开的高质量落实。</w:t>
      </w:r>
    </w:p>
    <w:p>
      <w:pPr>
        <w:pStyle w:val="4"/>
        <w:spacing w:before="0" w:beforeAutospacing="0" w:after="0" w:afterAutospacing="0" w:line="360" w:lineRule="exact"/>
        <w:ind w:firstLine="480"/>
        <w:jc w:val="both"/>
      </w:pPr>
      <w:r>
        <w:t>(三)推进办税服务开展情况公开。</w:t>
      </w:r>
      <w:r>
        <w:rPr>
          <w:rFonts w:hint="eastAsia"/>
        </w:rPr>
        <w:t>持续</w:t>
      </w:r>
      <w:r>
        <w:t>推进电子税务局建设</w:t>
      </w:r>
      <w:r>
        <w:rPr>
          <w:rFonts w:hint="eastAsia"/>
        </w:rPr>
        <w:t>，</w:t>
      </w:r>
      <w:r>
        <w:t>大力推进网上办税</w:t>
      </w:r>
      <w:r>
        <w:rPr>
          <w:rFonts w:hint="eastAsia"/>
        </w:rPr>
        <w:t>，</w:t>
      </w:r>
      <w:r>
        <w:t>推动纳税服务向多元化延伸</w:t>
      </w:r>
      <w:r>
        <w:rPr>
          <w:rFonts w:hint="eastAsia"/>
        </w:rPr>
        <w:t>；</w:t>
      </w:r>
      <w:r>
        <w:t>公开纳税服务事项统一办理标准</w:t>
      </w:r>
      <w:r>
        <w:rPr>
          <w:rFonts w:hint="eastAsia"/>
        </w:rPr>
        <w:t>，</w:t>
      </w:r>
      <w:r>
        <w:t>推进办税便利化改革</w:t>
      </w:r>
      <w:r>
        <w:rPr>
          <w:rFonts w:hint="eastAsia"/>
        </w:rPr>
        <w:t>，</w:t>
      </w:r>
      <w:r>
        <w:t>最大限度便利纳税人</w:t>
      </w:r>
      <w:r>
        <w:rPr>
          <w:rFonts w:hint="eastAsia"/>
        </w:rPr>
        <w:t>，</w:t>
      </w:r>
      <w:r>
        <w:t>不断提高纳税服务水平。</w:t>
      </w:r>
    </w:p>
    <w:p>
      <w:pPr>
        <w:pStyle w:val="4"/>
        <w:spacing w:before="84" w:beforeAutospacing="0" w:after="84" w:afterAutospacing="0"/>
        <w:ind w:firstLine="480"/>
      </w:pPr>
      <w:r>
        <w:rPr>
          <w:rFonts w:hint="eastAsia"/>
          <w:b/>
          <w:bCs/>
          <w:color w:val="333333"/>
        </w:rPr>
        <w:t>二、主动公开政府信息情况</w:t>
      </w:r>
    </w:p>
    <w:tbl>
      <w:tblPr>
        <w:tblStyle w:val="5"/>
        <w:tblW w:w="9013" w:type="dxa"/>
        <w:jc w:val="center"/>
        <w:tblLayout w:type="fixed"/>
        <w:tblCellMar>
          <w:top w:w="0" w:type="dxa"/>
          <w:left w:w="0" w:type="dxa"/>
          <w:bottom w:w="0" w:type="dxa"/>
          <w:right w:w="0" w:type="dxa"/>
        </w:tblCellMar>
      </w:tblPr>
      <w:tblGrid>
        <w:gridCol w:w="3087"/>
        <w:gridCol w:w="2264"/>
        <w:gridCol w:w="1271"/>
        <w:gridCol w:w="2391"/>
      </w:tblGrid>
      <w:tr>
        <w:tblPrEx>
          <w:tblCellMar>
            <w:top w:w="0" w:type="dxa"/>
            <w:left w:w="0" w:type="dxa"/>
            <w:bottom w:w="0" w:type="dxa"/>
            <w:right w:w="0" w:type="dxa"/>
          </w:tblCellMar>
        </w:tblPrEx>
        <w:trPr>
          <w:trHeight w:val="495" w:hRule="atLeast"/>
          <w:jc w:val="center"/>
        </w:trPr>
        <w:tc>
          <w:tcPr>
            <w:tcW w:w="90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80"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54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8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highlight w:val="yellow"/>
              </w:rPr>
            </w:pPr>
            <w:r>
              <w:rPr>
                <w:rFonts w:hint="eastAsia" w:ascii="宋体" w:hAnsi="宋体" w:eastAsia="宋体" w:cs="宋体"/>
                <w:kern w:val="0"/>
                <w:sz w:val="20"/>
                <w:szCs w:val="20"/>
              </w:rPr>
              <w:t>2739</w:t>
            </w:r>
          </w:p>
        </w:tc>
      </w:tr>
      <w:tr>
        <w:tblPrEx>
          <w:tblCellMar>
            <w:top w:w="0" w:type="dxa"/>
            <w:left w:w="0" w:type="dxa"/>
            <w:bottom w:w="0" w:type="dxa"/>
            <w:right w:w="0" w:type="dxa"/>
          </w:tblCellMar>
        </w:tblPrEx>
        <w:trPr>
          <w:trHeight w:val="417"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highlight w:val="yellow"/>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0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151</w:t>
            </w:r>
          </w:p>
        </w:tc>
      </w:tr>
      <w:tr>
        <w:tblPrEx>
          <w:tblCellMar>
            <w:top w:w="0" w:type="dxa"/>
            <w:left w:w="0" w:type="dxa"/>
            <w:bottom w:w="0" w:type="dxa"/>
            <w:right w:w="0" w:type="dxa"/>
          </w:tblCellMar>
        </w:tblPrEx>
        <w:trPr>
          <w:trHeight w:val="409"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27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239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474"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仿宋_GB2312" w:eastAsia="仿宋_GB2312"/>
                <w:sz w:val="35"/>
                <w:szCs w:val="35"/>
              </w:rPr>
              <w:t>—</w:t>
            </w:r>
          </w:p>
        </w:tc>
        <w:tc>
          <w:tcPr>
            <w:tcW w:w="3662"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仿宋_GB2312" w:eastAsia="仿宋_GB2312"/>
                <w:sz w:val="35"/>
                <w:szCs w:val="35"/>
              </w:rPr>
              <w:t>—</w:t>
            </w:r>
          </w:p>
        </w:tc>
      </w:tr>
      <w:tr>
        <w:tblPrEx>
          <w:tblCellMar>
            <w:top w:w="0" w:type="dxa"/>
            <w:left w:w="0" w:type="dxa"/>
            <w:bottom w:w="0" w:type="dxa"/>
            <w:right w:w="0" w:type="dxa"/>
          </w:tblCellMar>
        </w:tblPrEx>
        <w:trPr>
          <w:trHeight w:val="476" w:hRule="atLeast"/>
          <w:jc w:val="center"/>
        </w:trPr>
        <w:tc>
          <w:tcPr>
            <w:tcW w:w="90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85" w:hRule="atLeast"/>
          <w:jc w:val="center"/>
        </w:trPr>
        <w:tc>
          <w:tcPr>
            <w:tcW w:w="3087"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226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3662"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539" w:hRule="atLeast"/>
          <w:jc w:val="center"/>
        </w:trPr>
        <w:tc>
          <w:tcPr>
            <w:tcW w:w="90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0</w:t>
            </w:r>
          </w:p>
        </w:tc>
      </w:tr>
    </w:tbl>
    <w:p>
      <w:pPr>
        <w:pStyle w:val="4"/>
        <w:spacing w:before="84" w:beforeAutospacing="0" w:after="84" w:afterAutospacing="0"/>
        <w:ind w:firstLine="480"/>
      </w:pPr>
    </w:p>
    <w:p>
      <w:pPr>
        <w:pStyle w:val="4"/>
        <w:spacing w:before="84" w:beforeAutospacing="0" w:after="84" w:afterAutospacing="0"/>
        <w:ind w:firstLine="480"/>
      </w:pPr>
    </w:p>
    <w:p>
      <w:pPr>
        <w:pStyle w:val="4"/>
        <w:spacing w:before="84" w:beforeAutospacing="0" w:after="84" w:afterAutospacing="0"/>
        <w:ind w:firstLine="480"/>
      </w:pPr>
    </w:p>
    <w:p>
      <w:pPr>
        <w:pStyle w:val="4"/>
        <w:spacing w:before="84" w:beforeAutospacing="0" w:after="84" w:afterAutospacing="0"/>
        <w:ind w:firstLine="480"/>
      </w:pPr>
    </w:p>
    <w:p>
      <w:pPr>
        <w:pStyle w:val="4"/>
        <w:spacing w:before="84" w:beforeAutospacing="0" w:after="84" w:afterAutospacing="0"/>
        <w:ind w:firstLine="480"/>
      </w:pPr>
    </w:p>
    <w:p>
      <w:pPr>
        <w:pStyle w:val="4"/>
        <w:spacing w:before="84" w:beforeAutospacing="0" w:after="84" w:afterAutospacing="0"/>
        <w:ind w:firstLine="480"/>
      </w:pPr>
    </w:p>
    <w:p>
      <w:pPr>
        <w:pStyle w:val="4"/>
        <w:spacing w:before="84" w:beforeAutospacing="0" w:after="84" w:afterAutospacing="0"/>
        <w:ind w:firstLine="480"/>
        <w:rPr>
          <w:b/>
          <w:bCs/>
          <w:color w:val="333333"/>
        </w:rPr>
      </w:pPr>
      <w:r>
        <w:rPr>
          <w:rFonts w:hint="eastAsia"/>
          <w:b/>
          <w:bCs/>
          <w:color w:val="333333"/>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358"/>
        <w:gridCol w:w="708"/>
        <w:gridCol w:w="709"/>
        <w:gridCol w:w="634"/>
        <w:gridCol w:w="925"/>
        <w:gridCol w:w="993"/>
        <w:gridCol w:w="708"/>
        <w:gridCol w:w="565"/>
      </w:tblGrid>
      <w:tr>
        <w:tblPrEx>
          <w:tblCellMar>
            <w:top w:w="0" w:type="dxa"/>
            <w:left w:w="0" w:type="dxa"/>
            <w:bottom w:w="0" w:type="dxa"/>
            <w:right w:w="0" w:type="dxa"/>
          </w:tblCellMar>
        </w:tblPrEx>
        <w:trPr>
          <w:jc w:val="center"/>
        </w:trPr>
        <w:tc>
          <w:tcPr>
            <w:tcW w:w="382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24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96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56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477" w:hRule="atLeast"/>
          <w:jc w:val="center"/>
        </w:trPr>
        <w:tc>
          <w:tcPr>
            <w:tcW w:w="382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56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01"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4"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83"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（一）予以公开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6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（三）不予公开</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1.属于国家秘密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2.其他法律行政法规禁止公开</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3.危及“三安全一稳定”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4.保护第三方合法权益</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5.属于三类内部事务信息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2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6.属于四类过程性信息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7.属于行政执法案卷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8.属于行政查询事项</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（四）无法提供</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1.本机关不掌握相关政府信息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2.没有现成信息需要另行制作</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3.补正后申请内容仍不明确</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（五）不予处理</w:t>
            </w: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1.信访举报投诉类申请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2.重复申请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0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3.要求提供公开出版物</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4.无正当理由大量反复申请</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heme="majorEastAsia" w:hAnsiTheme="majorEastAsia" w:eastAsiaTheme="majorEastAsia" w:cstheme="majorEastAsia"/>
                <w:kern w:val="0"/>
                <w:sz w:val="24"/>
                <w:szCs w:val="24"/>
              </w:rPr>
            </w:pPr>
          </w:p>
        </w:tc>
        <w:tc>
          <w:tcPr>
            <w:tcW w:w="23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5.要求行政机关确认或重新出具已获取信息</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0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（六）其他处理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30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2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0"/>
                <w:szCs w:val="20"/>
              </w:rPr>
              <w:t>（七）总计</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263" w:hRule="atLeast"/>
          <w:jc w:val="center"/>
        </w:trPr>
        <w:tc>
          <w:tcPr>
            <w:tcW w:w="382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bl>
    <w:p>
      <w:pPr>
        <w:pStyle w:val="4"/>
        <w:spacing w:before="84" w:beforeAutospacing="0" w:after="84" w:afterAutospacing="0"/>
        <w:ind w:firstLine="480"/>
        <w:rPr>
          <w:b/>
          <w:bCs/>
          <w:color w:val="333333"/>
        </w:rPr>
      </w:pPr>
      <w:r>
        <w:rPr>
          <w:rFonts w:hint="eastAsia"/>
          <w:b/>
          <w:bCs/>
          <w:color w:val="333333"/>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pStyle w:val="4"/>
        <w:shd w:val="clear" w:color="auto" w:fill="FEFEFE"/>
        <w:spacing w:before="0" w:beforeAutospacing="0" w:after="0" w:afterAutospacing="0"/>
        <w:ind w:firstLine="480" w:firstLineChars="200"/>
        <w:jc w:val="both"/>
      </w:pPr>
      <w:r>
        <w:t>20</w:t>
      </w:r>
      <w:r>
        <w:rPr>
          <w:rFonts w:hint="eastAsia"/>
        </w:rPr>
        <w:t>20</w:t>
      </w:r>
      <w:r>
        <w:t>年</w:t>
      </w:r>
      <w:r>
        <w:rPr>
          <w:rFonts w:hint="eastAsia"/>
        </w:rPr>
        <w:t>，</w:t>
      </w:r>
      <w:r>
        <w:t>我局政府信息公开工作得了一定成效</w:t>
      </w:r>
      <w:r>
        <w:rPr>
          <w:rFonts w:hint="eastAsia"/>
        </w:rPr>
        <w:t>，</w:t>
      </w:r>
      <w:r>
        <w:t>但也存在一些问题需要在今后的工作中改进</w:t>
      </w:r>
      <w:r>
        <w:rPr>
          <w:rFonts w:hint="eastAsia"/>
        </w:rPr>
        <w:t>，</w:t>
      </w:r>
      <w:r>
        <w:t>如</w:t>
      </w:r>
      <w:r>
        <w:rPr>
          <w:rFonts w:hint="eastAsia"/>
        </w:rPr>
        <w:t>：</w:t>
      </w:r>
      <w:r>
        <w:t>政府信息公开人才队伍建设仍需进一步加强</w:t>
      </w:r>
      <w:r>
        <w:rPr>
          <w:rFonts w:hint="eastAsia"/>
        </w:rPr>
        <w:t>，</w:t>
      </w:r>
      <w:r>
        <w:t>政府信息公开工作意识和能力还需进一步提升</w:t>
      </w:r>
      <w:r>
        <w:rPr>
          <w:rFonts w:hint="eastAsia"/>
        </w:rPr>
        <w:t>；</w:t>
      </w:r>
      <w:r>
        <w:t>政府信息公开内容还要进一步规范</w:t>
      </w:r>
      <w:r>
        <w:rPr>
          <w:rFonts w:hint="eastAsia"/>
        </w:rPr>
        <w:t>；</w:t>
      </w:r>
      <w:r>
        <w:t>网站信息审核发布等管理流程还有待进一步改进等</w:t>
      </w:r>
      <w:r>
        <w:rPr>
          <w:rFonts w:hint="eastAsia"/>
        </w:rPr>
        <w:t>。</w:t>
      </w:r>
      <w:r>
        <w:t>20</w:t>
      </w:r>
      <w:r>
        <w:rPr>
          <w:rFonts w:hint="eastAsia"/>
        </w:rPr>
        <w:t>21</w:t>
      </w:r>
      <w:r>
        <w:t>年</w:t>
      </w:r>
      <w:r>
        <w:rPr>
          <w:rFonts w:hint="eastAsia"/>
        </w:rPr>
        <w:t>，</w:t>
      </w:r>
      <w:r>
        <w:t>我局将持续深化政府信息公开工作</w:t>
      </w:r>
      <w:r>
        <w:rPr>
          <w:rFonts w:hint="eastAsia"/>
        </w:rPr>
        <w:t>，</w:t>
      </w:r>
      <w:r>
        <w:t>提高公众对税务信息的知晓情况</w:t>
      </w:r>
      <w:r>
        <w:rPr>
          <w:rFonts w:hint="eastAsia"/>
        </w:rPr>
        <w:t>；</w:t>
      </w:r>
      <w:r>
        <w:t>进一步建立健全政府信息公开相关规章制度</w:t>
      </w:r>
      <w:r>
        <w:rPr>
          <w:rFonts w:hint="eastAsia"/>
        </w:rPr>
        <w:t>，</w:t>
      </w:r>
      <w:r>
        <w:t>促进依规开展政务公开工作</w:t>
      </w:r>
      <w:r>
        <w:rPr>
          <w:rFonts w:hint="eastAsia"/>
        </w:rPr>
        <w:t>；</w:t>
      </w:r>
      <w:r>
        <w:t>进一步规范和优化政府信息公开处理流程</w:t>
      </w:r>
      <w:r>
        <w:rPr>
          <w:rFonts w:hint="eastAsia"/>
        </w:rPr>
        <w:t>，</w:t>
      </w:r>
      <w:r>
        <w:t>不断提升税务工作透明度和税务部门公信力</w:t>
      </w:r>
      <w:r>
        <w:rPr>
          <w:rFonts w:hint="eastAsia"/>
        </w:rPr>
        <w:t>。</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1"/>
      </w:numPr>
      <w:ind w:right="90"/>
      <w:jc w:val="right"/>
      <w:rPr>
        <w:rFonts w:asciiTheme="minorEastAsia" w:hAnsiTheme="minorEastAsia"/>
        <w:sz w:val="28"/>
        <w:szCs w:val="28"/>
      </w:rPr>
    </w:pPr>
    <w:sdt>
      <w:sdtPr>
        <w:id w:val="19640277"/>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ascii="宋体" w:hAnsi="宋体"/>
            <w:sz w:val="28"/>
            <w:szCs w:val="28"/>
          </w:rPr>
          <w:t>—</w:t>
        </w:r>
      </w:sdtContent>
    </w:sdt>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C00F3"/>
    <w:multiLevelType w:val="multilevel"/>
    <w:tmpl w:val="52EC00F3"/>
    <w:lvl w:ilvl="0" w:tentative="0">
      <w:start w:val="3"/>
      <w:numFmt w:val="bullet"/>
      <w:lvlText w:val="—"/>
      <w:lvlJc w:val="left"/>
      <w:pPr>
        <w:ind w:left="720" w:hanging="360"/>
      </w:pPr>
      <w:rPr>
        <w:rFonts w:hint="eastAsia" w:ascii="宋体" w:hAnsi="宋体" w:eastAsia="宋体" w:cstheme="minorBidi"/>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5C7A"/>
    <w:rsid w:val="00062D6E"/>
    <w:rsid w:val="000F6964"/>
    <w:rsid w:val="001138BD"/>
    <w:rsid w:val="00136764"/>
    <w:rsid w:val="001913E6"/>
    <w:rsid w:val="001B5903"/>
    <w:rsid w:val="001D57AD"/>
    <w:rsid w:val="001E5851"/>
    <w:rsid w:val="002A430D"/>
    <w:rsid w:val="0036267F"/>
    <w:rsid w:val="003D2306"/>
    <w:rsid w:val="004364B4"/>
    <w:rsid w:val="005E5D60"/>
    <w:rsid w:val="005F6858"/>
    <w:rsid w:val="006277E1"/>
    <w:rsid w:val="00685858"/>
    <w:rsid w:val="007073D4"/>
    <w:rsid w:val="0074517C"/>
    <w:rsid w:val="0078740C"/>
    <w:rsid w:val="00791460"/>
    <w:rsid w:val="0080608E"/>
    <w:rsid w:val="00871E3E"/>
    <w:rsid w:val="00902151"/>
    <w:rsid w:val="009806FD"/>
    <w:rsid w:val="009C5BFF"/>
    <w:rsid w:val="009F19B8"/>
    <w:rsid w:val="00A402F9"/>
    <w:rsid w:val="00A67F50"/>
    <w:rsid w:val="00B033A6"/>
    <w:rsid w:val="00BE4FB3"/>
    <w:rsid w:val="00CC37E9"/>
    <w:rsid w:val="00CD3349"/>
    <w:rsid w:val="00CE17DC"/>
    <w:rsid w:val="00CF4E6B"/>
    <w:rsid w:val="00D3629E"/>
    <w:rsid w:val="00D61779"/>
    <w:rsid w:val="00D6693B"/>
    <w:rsid w:val="00DA5C7A"/>
    <w:rsid w:val="00DB71AE"/>
    <w:rsid w:val="00E40174"/>
    <w:rsid w:val="00EE72AE"/>
    <w:rsid w:val="00FA60A9"/>
    <w:rsid w:val="0D6D0ADB"/>
    <w:rsid w:val="1FA268DF"/>
    <w:rsid w:val="3538368A"/>
    <w:rsid w:val="4C935B64"/>
    <w:rsid w:val="4D233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394</Words>
  <Characters>2246</Characters>
  <Lines>18</Lines>
  <Paragraphs>5</Paragraphs>
  <TotalTime>1</TotalTime>
  <ScaleCrop>false</ScaleCrop>
  <LinksUpToDate>false</LinksUpToDate>
  <CharactersWithSpaces>2635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2021-01-12T08:26:00Z</dcterms:created>
  <dc:creator>tax</dc:creator>
  <cp:lastModifiedBy>龙女</cp:lastModifiedBy>
  <dcterms:modified xsi:type="dcterms:W3CDTF">2021-01-28T01:14:42Z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