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2019年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长春市规划和自然资源局长春新区分局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信息公开工作报告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报告是依据《中华人民共和国政府信息公开条例》编制而成的，特向长春新区政务营商局上报。本报告由总体情况，主动公开政府信息情况，收到和处理政府信息公开申请情况，政府信息公开行政复议，行政诉讼情况，存在的主要问题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改进情况，其他需要报告的事项共六个部分组成。本报告中所列数据的统计期限自2019年1月1日起至2019年12月31日止。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方正仿宋_GBK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2019年，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长春市规划和自然资源局长春新区分局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认真贯彻落实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和省、市、新区管委会关于政府信息公开工作的相关规定和具体要求，长春市规划和自然资源局长春新区分局领导高度重视信息公开工作，把此项工作列入全局重点工作任务，由高培行专门负责此项工作。一年来，向上级行管部门报送信息13条，收到社会居民或企业依申请公开申请36次。较好地起到了提升工作透明度的作用，政府信息工作开展顺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 w:rightChars="0" w:firstLine="643" w:firstLineChars="200"/>
        <w:jc w:val="both"/>
        <w:textAlignment w:val="auto"/>
        <w:rPr>
          <w:rFonts w:hint="eastAsia" w:ascii="宋体" w:hAnsi="宋体" w:eastAsia="仿宋_GB2312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81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147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-91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53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申请委托招标审批金额1394.5万元，招标实际金额1386.3万元（全部未支付）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4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39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  <w:t>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2019年5月15日修订的《中华人民共和国政府信息公开条例》实施以来，长春市规划和自然资源局长春新区分局政府信息公开数量激增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，主要来源于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省自然资源厅、市规划和自然资源局、新区政务营商局、申请人邮寄和当面申请等多个渠道。在信息答复过程中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，主要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存在以下两个问题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一是属地负责制度落实不好。大多数依申请信息公开属于各开发区负责答复，而在实际操作过程中，形成了固定思维，简单认为只要属于规划、国土、征收的都是新区规自分局的，因而导致处理环节拉长，无形之中浪费了答复时间。二是政府信息公开人员专业素质不高。负责信息公开人员往往非专职，对于信息公开研究不深，处理情况不灵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  <w:t>改进建议：一是严格落实属地负责的制度。属于各开发区的依申请信息公开直接给到相关开发区，这样可以减少不必要的环节，缩短信息答复时间。二是加强信息公开人员的培训。定期聘请负责信息公开的上级业务专家、律师或专业人员，组织开展政府信息公开人员的培训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无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60" w:firstLineChars="8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长春市规划和自然资源局长春新区分局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0" w:firstLineChars="1000"/>
        <w:jc w:val="center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2020年2月13日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56CDA"/>
    <w:rsid w:val="35A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1626</Words>
  <Characters>1691</Characters>
  <Paragraphs>398</Paragraphs>
  <TotalTime>24</TotalTime>
  <ScaleCrop>false</ScaleCrop>
  <LinksUpToDate>false</LinksUpToDate>
  <CharactersWithSpaces>1877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apple</cp:lastModifiedBy>
  <dcterms:modified xsi:type="dcterms:W3CDTF">2020-02-13T10:27:04Z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