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outlineLvl w:val="0"/>
        <w:rPr>
          <w:rFonts w:ascii="宋体" w:cs="宋体"/>
          <w:bCs/>
          <w:sz w:val="44"/>
          <w:szCs w:val="44"/>
        </w:rPr>
      </w:pPr>
      <w:r>
        <w:rPr>
          <w:rFonts w:ascii="宋体" w:cs="宋体" w:hint="eastAsia"/>
          <w:bCs/>
          <w:sz w:val="44"/>
          <w:szCs w:val="44"/>
        </w:rPr>
        <w:t>长春北湖科技开发区管理委员会关于</w:t>
      </w:r>
    </w:p>
    <w:p>
      <w:pPr>
        <w:spacing w:line="560" w:lineRule="exact"/>
        <w:jc w:val="center"/>
        <w:outlineLvl w:val="0"/>
        <w:rPr>
          <w:rFonts w:ascii="宋体" w:cs="宋体"/>
          <w:bCs/>
          <w:sz w:val="44"/>
          <w:szCs w:val="44"/>
        </w:rPr>
      </w:pPr>
      <w:r>
        <w:rPr>
          <w:rFonts w:ascii="宋体" w:cs="宋体" w:hint="eastAsia"/>
          <w:bCs/>
          <w:sz w:val="44"/>
          <w:szCs w:val="44"/>
        </w:rPr>
        <w:t>长春新区一间村城中村改造项目</w:t>
      </w:r>
    </w:p>
    <w:p>
      <w:pPr>
        <w:spacing w:line="560" w:lineRule="exact"/>
        <w:jc w:val="center"/>
        <w:outlineLvl w:val="0"/>
        <w:rPr>
          <w:rFonts w:ascii="宋体" w:cs="宋体"/>
          <w:bCs/>
          <w:sz w:val="44"/>
          <w:szCs w:val="44"/>
        </w:rPr>
      </w:pPr>
      <w:r>
        <w:rPr>
          <w:rFonts w:ascii="宋体" w:cs="宋体"/>
          <w:bCs/>
          <w:sz w:val="44"/>
          <w:szCs w:val="44"/>
        </w:rPr>
        <w:t>涉及的房屋等地上附着物</w:t>
      </w:r>
      <w:r>
        <w:rPr>
          <w:rFonts w:ascii="宋体" w:cs="宋体" w:hint="eastAsia"/>
          <w:bCs/>
          <w:sz w:val="44"/>
          <w:szCs w:val="44"/>
        </w:rPr>
        <w:t>征收补偿安置方案</w:t>
      </w:r>
    </w:p>
    <w:p>
      <w:pPr>
        <w:spacing w:line="560" w:lineRule="exact"/>
        <w:ind w:firstLineChars="200" w:firstLine="640"/>
        <w:jc w:val="left"/>
        <w:outlineLvl w:val="0"/>
        <w:rPr>
          <w:rFonts w:ascii="仿宋" w:eastAsia="仿宋" w:cs="仿宋"/>
          <w:sz w:val="32"/>
          <w:szCs w:val="32"/>
        </w:rPr>
      </w:pPr>
    </w:p>
    <w:p>
      <w:pPr>
        <w:spacing w:line="560" w:lineRule="exact"/>
        <w:ind w:firstLineChars="200" w:firstLine="640"/>
        <w:jc w:val="left"/>
        <w:outlineLvl w:val="0"/>
        <w:rPr>
          <w:rFonts w:ascii="仿宋" w:eastAsia="仿宋" w:cs="仿宋"/>
          <w:sz w:val="32"/>
          <w:szCs w:val="32"/>
        </w:rPr>
      </w:pPr>
      <w:r>
        <w:rPr>
          <w:rFonts w:ascii="仿宋" w:eastAsia="仿宋" w:cs="仿宋" w:hint="eastAsia"/>
          <w:sz w:val="32"/>
          <w:szCs w:val="32"/>
        </w:rPr>
        <w:t>为消除城中村区域安全隐患、改善人居环境、提升居住品质，根据《关于长春新区一间村城中村改造项目可行性研究报告（长新发改字【2024】13号）的批复》，长春北湖科技开发区管理委员会决定，对一间村城中村改造项目</w:t>
      </w:r>
      <w:r>
        <w:rPr>
          <w:rFonts w:ascii="仿宋" w:eastAsia="仿宋" w:cs="仿宋" w:hint="eastAsia"/>
          <w:bCs/>
          <w:sz w:val="32"/>
          <w:szCs w:val="32"/>
        </w:rPr>
        <w:t>涉及的房屋等地上附着物</w:t>
      </w:r>
      <w:r>
        <w:rPr>
          <w:rFonts w:ascii="仿宋" w:eastAsia="仿宋" w:cs="仿宋" w:hint="eastAsia"/>
          <w:sz w:val="32"/>
          <w:szCs w:val="32"/>
        </w:rPr>
        <w:t>实施征收。为保障被征收人的合法权益，依据《长春市集体土地房屋征收与补偿实施办法》，参照《长春市国有土地上房屋征收与补偿条例》《长春市国有土地上房屋征收与补偿条例实施办法》及有关法律、法规，结合本区域实际情况，制定本方案。</w:t>
      </w:r>
    </w:p>
    <w:p>
      <w:pPr>
        <w:spacing w:line="560" w:lineRule="exact"/>
        <w:ind w:firstLineChars="200" w:firstLine="640"/>
        <w:jc w:val="left"/>
        <w:outlineLvl w:val="0"/>
        <w:rPr>
          <w:rFonts w:ascii="黑体" w:eastAsia="黑体" w:cs="黑体"/>
          <w:b/>
          <w:sz w:val="32"/>
          <w:szCs w:val="32"/>
        </w:rPr>
      </w:pPr>
      <w:r>
        <w:rPr>
          <w:rFonts w:ascii="黑体" w:eastAsia="黑体" w:cs="黑体" w:hint="eastAsia"/>
          <w:b/>
          <w:sz w:val="32"/>
          <w:szCs w:val="32"/>
        </w:rPr>
        <w:t>第一条   基本事项</w:t>
      </w:r>
    </w:p>
    <w:p>
      <w:pPr>
        <w:spacing w:line="560" w:lineRule="exact"/>
        <w:ind w:firstLineChars="200" w:firstLine="640"/>
        <w:rPr>
          <w:rFonts w:ascii="仿宋" w:eastAsia="仿宋" w:cs="仿宋"/>
          <w:bCs/>
          <w:sz w:val="32"/>
          <w:szCs w:val="32"/>
        </w:rPr>
      </w:pPr>
      <w:r>
        <w:rPr>
          <w:rFonts w:ascii="仿宋" w:eastAsia="仿宋" w:cs="仿宋" w:hint="eastAsia"/>
          <w:bCs/>
          <w:sz w:val="32"/>
          <w:szCs w:val="32"/>
        </w:rPr>
        <w:t xml:space="preserve">1、征收范围：一间村城中村改造项目涉及的房屋等地上附着物。          </w:t>
      </w:r>
    </w:p>
    <w:p>
      <w:pPr>
        <w:spacing w:line="560" w:lineRule="exact"/>
        <w:ind w:firstLineChars="200" w:firstLine="640"/>
        <w:jc w:val="left"/>
        <w:rPr>
          <w:rFonts w:ascii="仿宋" w:eastAsia="仿宋" w:cs="仿宋"/>
          <w:bCs/>
          <w:sz w:val="32"/>
          <w:szCs w:val="32"/>
        </w:rPr>
      </w:pPr>
      <w:r>
        <w:rPr>
          <w:rFonts w:ascii="仿宋" w:eastAsia="仿宋" w:cs="仿宋" w:hint="eastAsia"/>
          <w:bCs/>
          <w:sz w:val="32"/>
          <w:szCs w:val="32"/>
        </w:rPr>
        <w:t>2、征收主体：长春北湖科技开发区管理委员会。</w:t>
      </w:r>
    </w:p>
    <w:p>
      <w:pPr>
        <w:spacing w:line="560" w:lineRule="exact"/>
        <w:ind w:firstLineChars="200" w:firstLine="640"/>
        <w:jc w:val="left"/>
        <w:rPr>
          <w:rFonts w:ascii="仿宋" w:eastAsia="仿宋" w:cs="仿宋"/>
          <w:bCs/>
          <w:sz w:val="32"/>
          <w:szCs w:val="32"/>
        </w:rPr>
      </w:pPr>
      <w:r>
        <w:rPr>
          <w:rFonts w:ascii="仿宋" w:eastAsia="仿宋" w:cs="仿宋" w:hint="eastAsia"/>
          <w:bCs/>
          <w:sz w:val="32"/>
          <w:szCs w:val="32"/>
        </w:rPr>
        <w:t xml:space="preserve">3、征收实施单位：奋进乡人民政府。       </w:t>
      </w:r>
    </w:p>
    <w:p>
      <w:pPr>
        <w:spacing w:line="560" w:lineRule="exact"/>
        <w:ind w:firstLineChars="200" w:firstLine="640"/>
        <w:jc w:val="left"/>
        <w:rPr>
          <w:rFonts w:ascii="仿宋" w:eastAsia="仿宋" w:cs="仿宋"/>
          <w:bCs/>
          <w:sz w:val="32"/>
          <w:szCs w:val="32"/>
        </w:rPr>
      </w:pPr>
      <w:r>
        <w:rPr>
          <w:rFonts w:ascii="仿宋" w:eastAsia="仿宋" w:cs="仿宋" w:hint="eastAsia"/>
          <w:bCs/>
          <w:sz w:val="32"/>
          <w:szCs w:val="32"/>
        </w:rPr>
        <w:t>4、征收期限：2024年</w:t>
      </w:r>
      <w:r>
        <w:rPr>
          <w:rFonts w:ascii="文泉驿正黑" w:eastAsia="仿宋" w:cs="仿宋" w:hAnsi="文泉驿正黑"/>
          <w:bCs/>
          <w:sz w:val="32"/>
          <w:szCs w:val="32"/>
        </w:rPr>
        <w:t>8</w:t>
      </w:r>
      <w:r>
        <w:rPr>
          <w:rFonts w:ascii="仿宋" w:eastAsia="仿宋" w:cs="仿宋" w:hint="eastAsia"/>
          <w:bCs/>
          <w:sz w:val="32"/>
          <w:szCs w:val="32"/>
        </w:rPr>
        <w:t>月</w:t>
      </w:r>
      <w:r>
        <w:rPr>
          <w:rFonts w:ascii="文泉驿正黑" w:eastAsia="仿宋" w:cs="仿宋" w:hAnsi="文泉驿正黑"/>
          <w:bCs/>
          <w:sz w:val="32"/>
          <w:szCs w:val="32"/>
        </w:rPr>
        <w:t>5</w:t>
      </w:r>
      <w:r>
        <w:rPr>
          <w:rFonts w:ascii="仿宋" w:eastAsia="仿宋" w:cs="仿宋" w:hint="eastAsia"/>
          <w:bCs/>
          <w:sz w:val="32"/>
          <w:szCs w:val="32"/>
        </w:rPr>
        <w:t>日--2024年11月30日。</w:t>
      </w:r>
    </w:p>
    <w:p>
      <w:pPr>
        <w:spacing w:line="560" w:lineRule="exact"/>
        <w:ind w:firstLineChars="200" w:firstLine="640"/>
        <w:jc w:val="left"/>
        <w:rPr>
          <w:rFonts w:ascii="仿宋" w:eastAsia="仿宋" w:cs="仿宋"/>
          <w:bCs/>
          <w:sz w:val="32"/>
          <w:szCs w:val="32"/>
        </w:rPr>
      </w:pPr>
      <w:r>
        <w:rPr>
          <w:rFonts w:ascii="仿宋" w:eastAsia="仿宋" w:cs="仿宋" w:hint="eastAsia"/>
          <w:bCs/>
          <w:sz w:val="32"/>
          <w:szCs w:val="32"/>
        </w:rPr>
        <w:t>5、征收补偿方式：被征收人可以选择房屋产权调换，也可以选择货币补偿。</w:t>
      </w:r>
    </w:p>
    <w:p>
      <w:pPr>
        <w:spacing w:line="560" w:lineRule="exact"/>
        <w:ind w:firstLineChars="200" w:firstLine="640"/>
        <w:rPr>
          <w:rFonts w:ascii="仿宋" w:eastAsia="仿宋" w:cs="仿宋"/>
          <w:bCs/>
          <w:sz w:val="32"/>
          <w:szCs w:val="32"/>
        </w:rPr>
      </w:pPr>
      <w:r>
        <w:rPr>
          <w:rFonts w:ascii="仿宋" w:eastAsia="仿宋" w:cs="仿宋" w:hint="eastAsia"/>
          <w:bCs/>
          <w:sz w:val="32"/>
          <w:szCs w:val="32"/>
        </w:rPr>
        <w:t>6、产权调换房屋安置地点：鑫盛嘉园（暂定名）。</w:t>
      </w:r>
    </w:p>
    <w:p>
      <w:pPr>
        <w:adjustRightInd w:val="0"/>
        <w:snapToGrid w:val="0"/>
        <w:spacing w:line="560" w:lineRule="exact"/>
        <w:ind w:firstLineChars="200" w:firstLine="640"/>
        <w:outlineLvl w:val="0"/>
        <w:rPr>
          <w:rFonts w:ascii="仿宋" w:eastAsia="仿宋" w:cs="仿宋"/>
          <w:sz w:val="32"/>
          <w:szCs w:val="32"/>
        </w:rPr>
      </w:pPr>
      <w:r>
        <w:rPr>
          <w:rFonts w:ascii="黑体" w:eastAsia="黑体" w:cs="黑体" w:hint="eastAsia"/>
          <w:b/>
          <w:sz w:val="32"/>
          <w:szCs w:val="32"/>
        </w:rPr>
        <w:t>第二条   选择货币补偿的</w:t>
      </w:r>
    </w:p>
    <w:p>
      <w:pPr>
        <w:adjustRightInd w:val="0"/>
        <w:snapToGrid w:val="0"/>
        <w:spacing w:line="560" w:lineRule="exact"/>
        <w:ind w:firstLineChars="200" w:firstLine="640"/>
        <w:outlineLvl w:val="0"/>
        <w:rPr>
          <w:rFonts w:ascii="仿宋" w:eastAsia="仿宋" w:cs="仿宋"/>
          <w:bCs/>
          <w:sz w:val="32"/>
          <w:szCs w:val="32"/>
        </w:rPr>
      </w:pPr>
      <w:r>
        <w:rPr>
          <w:rFonts w:ascii="仿宋" w:eastAsia="仿宋" w:cs="仿宋" w:hint="eastAsia"/>
          <w:bCs/>
          <w:sz w:val="32"/>
          <w:szCs w:val="32"/>
        </w:rPr>
        <w:t>被征收房屋的所有权人选择货币补偿的，货币补偿价格由具有相应资质的房地产价格评估机构评估确定。</w:t>
      </w:r>
    </w:p>
    <w:p>
      <w:pPr>
        <w:spacing w:line="560" w:lineRule="exact"/>
        <w:ind w:firstLineChars="200" w:firstLine="640"/>
        <w:jc w:val="left"/>
        <w:rPr>
          <w:rFonts w:ascii="黑体" w:eastAsia="黑体" w:cs="黑体"/>
          <w:b/>
          <w:sz w:val="32"/>
          <w:szCs w:val="32"/>
        </w:rPr>
      </w:pPr>
      <w:r>
        <w:rPr>
          <w:rFonts w:ascii="黑体" w:eastAsia="黑体" w:cs="黑体" w:hint="eastAsia"/>
          <w:b/>
          <w:sz w:val="32"/>
          <w:szCs w:val="32"/>
        </w:rPr>
        <w:t>第三条   选择房屋产权调换的</w:t>
      </w:r>
    </w:p>
    <w:p>
      <w:pPr>
        <w:spacing w:line="560" w:lineRule="exact"/>
        <w:ind w:firstLineChars="200" w:firstLine="640"/>
        <w:rPr>
          <w:rFonts w:ascii="楷体" w:eastAsia="楷体" w:cs="楷体"/>
          <w:b/>
          <w:sz w:val="32"/>
          <w:szCs w:val="32"/>
        </w:rPr>
      </w:pPr>
      <w:r>
        <w:rPr>
          <w:rFonts w:ascii="楷体" w:eastAsia="楷体" w:cs="楷体" w:hint="eastAsia"/>
          <w:b/>
          <w:sz w:val="32"/>
          <w:szCs w:val="32"/>
        </w:rPr>
        <w:t>1、有证照房屋的安置与补偿</w:t>
      </w:r>
    </w:p>
    <w:p>
      <w:pPr>
        <w:adjustRightInd w:val="0"/>
        <w:snapToGrid w:val="0"/>
        <w:spacing w:line="560" w:lineRule="exact"/>
        <w:ind w:firstLineChars="200" w:firstLine="640"/>
        <w:outlineLvl w:val="0"/>
        <w:rPr>
          <w:rFonts w:ascii="仿宋" w:eastAsia="仿宋" w:cs="仿宋"/>
          <w:bCs/>
          <w:sz w:val="32"/>
          <w:szCs w:val="32"/>
        </w:rPr>
      </w:pPr>
      <w:r>
        <w:rPr>
          <w:rFonts w:ascii="仿宋" w:eastAsia="仿宋" w:cs="仿宋" w:hint="eastAsia"/>
          <w:bCs/>
          <w:sz w:val="32"/>
          <w:szCs w:val="32"/>
        </w:rPr>
        <w:t>（1）回迁安置房屋标准户型面积：49㎡、64㎡、70㎡、80㎡、90㎡、100㎡、120㎡。</w:t>
      </w:r>
    </w:p>
    <w:p>
      <w:pPr>
        <w:spacing w:line="560" w:lineRule="exact"/>
        <w:ind w:firstLineChars="200" w:firstLine="640"/>
        <w:rPr>
          <w:rFonts w:ascii="仿宋" w:eastAsia="仿宋" w:cs="仿宋"/>
          <w:bCs/>
          <w:sz w:val="32"/>
          <w:szCs w:val="32"/>
        </w:rPr>
      </w:pPr>
      <w:r>
        <w:rPr>
          <w:rFonts w:ascii="仿宋" w:eastAsia="仿宋" w:cs="仿宋" w:hint="eastAsia"/>
          <w:bCs/>
          <w:sz w:val="32"/>
          <w:szCs w:val="32"/>
        </w:rPr>
        <w:t>（2）住宅房屋被征收人按照被征收房屋的建筑面积就近上靠标准户型进行产权调换的，就近上靠标准户型的建筑面积大于被征收房屋的建筑面积不超过10㎡（含10㎡）部分作为奖励无偿给予被征收人，超过10㎡部分按照本方案公布之日前建设主管部门最新公布的住宅建筑安装工程造价由被征收人交纳面积差额款。</w:t>
      </w:r>
    </w:p>
    <w:p>
      <w:pPr>
        <w:spacing w:line="560" w:lineRule="exact"/>
        <w:ind w:firstLineChars="200" w:firstLine="640"/>
        <w:rPr>
          <w:rFonts w:ascii="仿宋" w:eastAsia="仿宋" w:cs="仿宋"/>
          <w:bCs/>
          <w:sz w:val="32"/>
          <w:szCs w:val="32"/>
        </w:rPr>
      </w:pPr>
      <w:r>
        <w:rPr>
          <w:rFonts w:ascii="仿宋" w:eastAsia="仿宋" w:cs="仿宋" w:hint="eastAsia"/>
          <w:bCs/>
          <w:sz w:val="32"/>
          <w:szCs w:val="32"/>
        </w:rPr>
        <w:t>住宅房屋被征收人要求按照超过就近上靠标准户型建筑面积进行产权调换的，超过就近上靠标准户型建筑面积的部分按照产权调换房屋的市场价格结算。</w:t>
      </w:r>
    </w:p>
    <w:p>
      <w:pPr>
        <w:spacing w:line="560" w:lineRule="exact"/>
        <w:ind w:firstLineChars="200" w:firstLine="640"/>
        <w:jc w:val="left"/>
        <w:rPr>
          <w:rFonts w:ascii="仿宋" w:eastAsia="仿宋" w:cs="仿宋"/>
          <w:bCs/>
          <w:sz w:val="32"/>
          <w:szCs w:val="32"/>
        </w:rPr>
      </w:pPr>
      <w:r>
        <w:rPr>
          <w:rFonts w:ascii="仿宋" w:eastAsia="仿宋" w:cs="仿宋" w:hint="eastAsia"/>
          <w:bCs/>
          <w:sz w:val="32"/>
          <w:szCs w:val="32"/>
        </w:rPr>
        <w:t>住宅房屋被征收人可以按照大于被征收房屋建筑面积70%</w:t>
      </w:r>
      <w:r>
        <w:rPr>
          <w:rFonts w:ascii="仿宋" w:eastAsia="仿宋" w:cs="仿宋" w:hint="eastAsia"/>
          <w:sz w:val="32"/>
          <w:szCs w:val="32"/>
        </w:rPr>
        <w:t>（含</w:t>
      </w:r>
      <w:r>
        <w:rPr>
          <w:rFonts w:ascii="仿宋" w:eastAsia="仿宋" w:cs="仿宋" w:hint="eastAsia"/>
          <w:bCs/>
          <w:sz w:val="32"/>
          <w:szCs w:val="32"/>
        </w:rPr>
        <w:t>70%</w:t>
      </w:r>
      <w:r>
        <w:rPr>
          <w:rFonts w:ascii="仿宋" w:eastAsia="仿宋" w:cs="仿宋" w:hint="eastAsia"/>
          <w:sz w:val="32"/>
          <w:szCs w:val="32"/>
        </w:rPr>
        <w:t>）的标准</w:t>
      </w:r>
      <w:r>
        <w:rPr>
          <w:rFonts w:ascii="仿宋" w:eastAsia="仿宋" w:cs="仿宋" w:hint="eastAsia"/>
          <w:bCs/>
          <w:sz w:val="32"/>
          <w:szCs w:val="32"/>
        </w:rPr>
        <w:t>自主选择安置标准户型，被征收房屋的建筑面积超过被征收人自主选择的安置标准户型建筑面积部分进行货币补偿，享受有证照房屋评估金额上浮20%的价格补助。</w:t>
      </w:r>
      <w:r>
        <w:rPr>
          <w:rFonts w:ascii="仿宋" w:eastAsia="仿宋" w:cs="仿宋" w:hint="eastAsia"/>
          <w:bCs/>
          <w:color w:val="auto"/>
          <w:sz w:val="32"/>
          <w:szCs w:val="32"/>
        </w:rPr>
        <w:t>（自主选择安置户型的被征收人不享受“一宅多户”</w:t>
      </w:r>
      <w:r>
        <w:rPr>
          <w:rFonts w:ascii="仿宋" w:eastAsia="仿宋" w:cs="仿宋" w:hint="eastAsia"/>
          <w:bCs/>
          <w:color w:val="auto"/>
          <w:sz w:val="32"/>
          <w:szCs w:val="32"/>
          <w:lang w:eastAsia="zh-CN"/>
        </w:rPr>
        <w:t>、</w:t>
      </w:r>
      <w:r>
        <w:rPr>
          <w:rFonts w:ascii="仿宋" w:eastAsia="仿宋" w:cs="仿宋" w:hint="eastAsia"/>
          <w:bCs/>
          <w:color w:val="auto"/>
          <w:sz w:val="32"/>
          <w:szCs w:val="32"/>
        </w:rPr>
        <w:t>“独立院落”奖励政策</w:t>
      </w:r>
      <w:r>
        <w:rPr>
          <w:rFonts w:ascii="仿宋" w:eastAsia="仿宋" w:cs="仿宋" w:hint="eastAsia"/>
          <w:bCs/>
          <w:sz w:val="32"/>
          <w:szCs w:val="32"/>
        </w:rPr>
        <w:t>）。</w:t>
      </w:r>
    </w:p>
    <w:p>
      <w:pPr>
        <w:spacing w:line="560" w:lineRule="exact"/>
        <w:ind w:firstLineChars="200" w:firstLine="640"/>
        <w:rPr>
          <w:rFonts w:ascii="仿宋" w:eastAsia="仿宋" w:cs="仿宋"/>
          <w:bCs/>
          <w:sz w:val="32"/>
          <w:szCs w:val="32"/>
        </w:rPr>
      </w:pPr>
      <w:r>
        <w:rPr>
          <w:rFonts w:ascii="仿宋" w:eastAsia="仿宋" w:cs="仿宋" w:hint="eastAsia"/>
          <w:sz w:val="32"/>
          <w:szCs w:val="32"/>
        </w:rPr>
        <w:t>（3）被征收房屋建筑面积在90</w:t>
      </w:r>
      <w:r>
        <w:rPr>
          <w:rFonts w:ascii="仿宋" w:eastAsia="仿宋" w:cs="仿宋" w:hint="eastAsia"/>
          <w:bCs/>
          <w:sz w:val="32"/>
          <w:szCs w:val="32"/>
        </w:rPr>
        <w:t>㎡</w:t>
      </w:r>
      <w:r>
        <w:rPr>
          <w:rFonts w:ascii="仿宋" w:eastAsia="仿宋" w:cs="仿宋" w:hint="eastAsia"/>
          <w:sz w:val="32"/>
          <w:szCs w:val="32"/>
        </w:rPr>
        <w:t>（含90</w:t>
      </w:r>
      <w:r>
        <w:rPr>
          <w:rFonts w:ascii="仿宋" w:eastAsia="仿宋" w:cs="仿宋" w:hint="eastAsia"/>
          <w:bCs/>
          <w:sz w:val="32"/>
          <w:szCs w:val="32"/>
        </w:rPr>
        <w:t>㎡</w:t>
      </w:r>
      <w:r>
        <w:rPr>
          <w:rFonts w:ascii="仿宋" w:eastAsia="仿宋" w:cs="仿宋" w:hint="eastAsia"/>
          <w:sz w:val="32"/>
          <w:szCs w:val="32"/>
        </w:rPr>
        <w:t>）以上，可以按照标准户型分套调换</w:t>
      </w:r>
      <w:r>
        <w:rPr>
          <w:rFonts w:ascii="仿宋" w:eastAsia="仿宋" w:cs="仿宋" w:hint="eastAsia"/>
          <w:b/>
          <w:bCs/>
          <w:sz w:val="32"/>
          <w:szCs w:val="32"/>
        </w:rPr>
        <w:t>。</w:t>
      </w:r>
      <w:r>
        <w:rPr>
          <w:rFonts w:ascii="仿宋" w:eastAsia="仿宋" w:cs="仿宋" w:hint="eastAsia"/>
          <w:sz w:val="32"/>
          <w:szCs w:val="32"/>
        </w:rPr>
        <w:t>分套调换合并计算的建筑面积超出被征收房屋建筑面积的部分按照产权调换房屋的</w:t>
      </w:r>
      <w:r>
        <w:rPr>
          <w:rFonts w:ascii="仿宋" w:eastAsia="仿宋" w:cs="仿宋" w:hint="eastAsia"/>
          <w:bCs/>
          <w:sz w:val="32"/>
          <w:szCs w:val="32"/>
        </w:rPr>
        <w:t>市场价格结算。</w:t>
      </w:r>
    </w:p>
    <w:p>
      <w:pPr>
        <w:spacing w:line="560" w:lineRule="exact"/>
        <w:ind w:firstLineChars="200" w:firstLine="640"/>
        <w:rPr>
          <w:rFonts w:ascii="仿宋" w:eastAsia="仿宋" w:cs="仿宋"/>
          <w:bCs/>
          <w:sz w:val="32"/>
          <w:szCs w:val="32"/>
        </w:rPr>
      </w:pPr>
      <w:r>
        <w:rPr>
          <w:rFonts w:ascii="仿宋" w:eastAsia="仿宋" w:cs="仿宋" w:hint="eastAsia"/>
          <w:bCs/>
          <w:sz w:val="32"/>
          <w:szCs w:val="32"/>
        </w:rPr>
        <w:t>（4）一个院落内只有一处主房的（有产权证照或经认定组认定的房屋），可选择一套或两套产权调换房屋。选择一套产权调换房屋，产权调换房屋建筑面积不超过主房建筑面积20㎡</w:t>
      </w:r>
      <w:r>
        <w:rPr>
          <w:rFonts w:ascii="仿宋" w:eastAsia="仿宋" w:cs="仿宋" w:hint="eastAsia"/>
          <w:sz w:val="32"/>
          <w:szCs w:val="32"/>
        </w:rPr>
        <w:t>（含20</w:t>
      </w:r>
      <w:r>
        <w:rPr>
          <w:rFonts w:ascii="仿宋" w:eastAsia="仿宋" w:cs="仿宋" w:hint="eastAsia"/>
          <w:bCs/>
          <w:sz w:val="32"/>
          <w:szCs w:val="32"/>
        </w:rPr>
        <w:t>㎡</w:t>
      </w:r>
      <w:r>
        <w:rPr>
          <w:rFonts w:ascii="仿宋" w:eastAsia="仿宋" w:cs="仿宋" w:hint="eastAsia"/>
          <w:sz w:val="32"/>
          <w:szCs w:val="32"/>
        </w:rPr>
        <w:t>）的，</w:t>
      </w:r>
      <w:r>
        <w:rPr>
          <w:rFonts w:ascii="仿宋" w:eastAsia="仿宋" w:cs="仿宋" w:hint="eastAsia"/>
          <w:bCs/>
          <w:sz w:val="32"/>
          <w:szCs w:val="32"/>
        </w:rPr>
        <w:t>或者选择两套产权调换房屋，调换房屋建筑面积总和不超过主房建筑面积40㎡</w:t>
      </w:r>
      <w:r>
        <w:rPr>
          <w:rFonts w:ascii="仿宋" w:eastAsia="仿宋" w:cs="仿宋" w:hint="eastAsia"/>
          <w:sz w:val="32"/>
          <w:szCs w:val="32"/>
        </w:rPr>
        <w:t>（含40</w:t>
      </w:r>
      <w:r>
        <w:rPr>
          <w:rFonts w:ascii="仿宋" w:eastAsia="仿宋" w:cs="仿宋" w:hint="eastAsia"/>
          <w:bCs/>
          <w:sz w:val="32"/>
          <w:szCs w:val="32"/>
        </w:rPr>
        <w:t>㎡</w:t>
      </w:r>
      <w:r>
        <w:rPr>
          <w:rFonts w:ascii="仿宋" w:eastAsia="仿宋" w:cs="仿宋" w:hint="eastAsia"/>
          <w:sz w:val="32"/>
          <w:szCs w:val="32"/>
        </w:rPr>
        <w:t>）</w:t>
      </w:r>
      <w:r>
        <w:rPr>
          <w:rFonts w:ascii="仿宋" w:eastAsia="仿宋" w:cs="仿宋" w:hint="eastAsia"/>
          <w:bCs/>
          <w:sz w:val="32"/>
          <w:szCs w:val="32"/>
        </w:rPr>
        <w:t>的，上述超出面积按照本方案公布之日前建设主管部门最新公布的住宅建筑安装工程造价交纳面积差额款。超出上述扩大面积（一套20㎡或者两套</w:t>
      </w:r>
      <w:r>
        <w:rPr>
          <w:rFonts w:ascii="仿宋" w:eastAsia="仿宋" w:cs="仿宋" w:hint="eastAsia"/>
          <w:sz w:val="32"/>
          <w:szCs w:val="32"/>
        </w:rPr>
        <w:t>40</w:t>
      </w:r>
      <w:r>
        <w:rPr>
          <w:rFonts w:ascii="仿宋" w:eastAsia="仿宋" w:cs="仿宋" w:hint="eastAsia"/>
          <w:bCs/>
          <w:sz w:val="32"/>
          <w:szCs w:val="32"/>
        </w:rPr>
        <w:t>㎡）的部分按照产权调换房屋市场价格交纳面积差额款。</w:t>
      </w:r>
    </w:p>
    <w:p>
      <w:pPr>
        <w:spacing w:line="560" w:lineRule="exact"/>
        <w:ind w:firstLineChars="200" w:firstLine="640"/>
        <w:rPr>
          <w:rFonts w:ascii="仿宋" w:eastAsia="仿宋" w:cs="仿宋"/>
          <w:bCs/>
          <w:sz w:val="32"/>
          <w:szCs w:val="32"/>
        </w:rPr>
      </w:pPr>
      <w:r>
        <w:rPr>
          <w:rFonts w:ascii="仿宋" w:eastAsia="仿宋" w:cs="仿宋" w:hint="eastAsia"/>
          <w:bCs/>
          <w:sz w:val="32"/>
          <w:szCs w:val="32"/>
        </w:rPr>
        <w:t>（5）房屋分配原则：依据搬迁时间先后公开排序，回迁时由被征收人依次自主选择。</w:t>
      </w:r>
    </w:p>
    <w:p>
      <w:pPr>
        <w:spacing w:line="560" w:lineRule="exact"/>
        <w:ind w:firstLineChars="200" w:firstLine="640"/>
        <w:rPr>
          <w:rFonts w:ascii="仿宋" w:eastAsia="仿宋" w:cs="仿宋"/>
          <w:bCs/>
          <w:sz w:val="32"/>
          <w:szCs w:val="32"/>
        </w:rPr>
      </w:pPr>
      <w:r>
        <w:rPr>
          <w:rFonts w:ascii="仿宋" w:eastAsia="仿宋" w:cs="仿宋" w:hint="eastAsia"/>
          <w:bCs/>
          <w:sz w:val="32"/>
          <w:szCs w:val="32"/>
        </w:rPr>
        <w:t>（6）产权调换房屋的实际建筑面积与征收补偿安置协议约定的建筑面积存在误差的，实行多退少补。产权调换房屋的实际建筑面积少于征收补偿安置协议约定建筑面积的，房屋征收部门应当按照产权调换房屋的市场价格返还被征收人不足面积款；产权调换房屋的实际建筑面积超过征收补偿安置协议约定面积的，被征收人应当按照本方案公布之日前建设主管部门最新公布的住宅建筑安装工程造价交纳增加面积款，超过协议约定面积的部分归被征收人所有。</w:t>
      </w:r>
    </w:p>
    <w:p>
      <w:pPr>
        <w:pStyle w:val="29"/>
        <w:keepNext w:val="0"/>
        <w:keepLines w:val="0"/>
        <w:widowControl/>
        <w:spacing w:line="560" w:lineRule="exact"/>
        <w:rPr>
          <w:rFonts w:ascii="楷体" w:eastAsia="楷体" w:cs="楷体"/>
          <w:color w:val="auto"/>
          <w:sz w:val="32"/>
          <w:szCs w:val="32"/>
        </w:rPr>
      </w:pPr>
      <w:r>
        <w:rPr>
          <w:rFonts w:ascii="楷体" w:eastAsia="楷体" w:cs="楷体" w:hint="eastAsia"/>
          <w:color w:val="auto"/>
          <w:sz w:val="32"/>
          <w:szCs w:val="32"/>
        </w:rPr>
        <w:t>2、独立院落内房屋的认定及补偿</w:t>
      </w:r>
    </w:p>
    <w:p>
      <w:pPr>
        <w:adjustRightInd w:val="0"/>
        <w:snapToGrid w:val="0"/>
        <w:spacing w:line="560" w:lineRule="exact"/>
        <w:ind w:firstLineChars="200" w:firstLine="640"/>
        <w:rPr>
          <w:rFonts w:ascii="仿宋" w:eastAsia="仿宋" w:cs="仿宋"/>
          <w:sz w:val="32"/>
          <w:szCs w:val="32"/>
        </w:rPr>
      </w:pPr>
      <w:r>
        <w:rPr>
          <w:rFonts w:ascii="仿宋" w:eastAsia="仿宋" w:cs="仿宋" w:hint="eastAsia"/>
          <w:color w:val="auto"/>
          <w:sz w:val="32"/>
          <w:szCs w:val="32"/>
        </w:rPr>
        <w:t>认定组负责调查、确认征收范围内的“唯一居住房屋”“老房翻建”以及“其他居住房屋”</w:t>
      </w:r>
      <w:r>
        <w:rPr>
          <w:rFonts w:ascii="仿宋" w:eastAsia="仿宋" w:hint="eastAsia"/>
          <w:color w:val="auto"/>
          <w:sz w:val="32"/>
          <w:szCs w:val="32"/>
        </w:rPr>
        <w:t>（一宅多户）</w:t>
      </w:r>
      <w:r>
        <w:rPr>
          <w:rFonts w:ascii="仿宋" w:eastAsia="仿宋" w:hint="eastAsia"/>
          <w:color w:val="auto"/>
          <w:sz w:val="32"/>
          <w:szCs w:val="32"/>
          <w:lang w:val="en-US" w:eastAsia="zh-CN"/>
        </w:rPr>
        <w:t>的认定工作</w:t>
      </w:r>
      <w:r>
        <w:rPr>
          <w:rFonts w:ascii="仿宋" w:eastAsia="仿宋" w:cs="仿宋" w:hint="eastAsia"/>
          <w:color w:val="auto"/>
          <w:sz w:val="32"/>
          <w:szCs w:val="32"/>
        </w:rPr>
        <w:t>。认定组成员单位包括：</w:t>
      </w:r>
      <w:r>
        <w:rPr>
          <w:rFonts w:ascii="仿宋" w:eastAsia="仿宋" w:cs="仿宋" w:hint="eastAsia"/>
          <w:color w:val="auto"/>
          <w:sz w:val="32"/>
          <w:szCs w:val="32"/>
          <w:lang w:val="en-US" w:eastAsia="zh-CN"/>
        </w:rPr>
        <w:t>一间村民委员会、</w:t>
      </w:r>
      <w:r>
        <w:rPr>
          <w:rFonts w:eastAsia="仿宋"/>
          <w:color w:val="auto"/>
          <w:sz w:val="32"/>
          <w:szCs w:val="32"/>
        </w:rPr>
        <w:t>奋进乡人民政府、北湖住建局（奋进</w:t>
      </w:r>
      <w:r>
        <w:rPr>
          <w:rFonts w:eastAsia="仿宋" w:hint="eastAsia"/>
          <w:color w:val="auto"/>
          <w:sz w:val="32"/>
          <w:szCs w:val="32"/>
        </w:rPr>
        <w:t>乡</w:t>
      </w:r>
      <w:r>
        <w:rPr>
          <w:rFonts w:eastAsia="仿宋"/>
          <w:color w:val="auto"/>
          <w:sz w:val="32"/>
          <w:szCs w:val="32"/>
        </w:rPr>
        <w:t>执法大队、房屋</w:t>
      </w:r>
      <w:r>
        <w:rPr>
          <w:rFonts w:ascii="仿宋" w:eastAsia="仿宋" w:cs="仿宋" w:hint="eastAsia"/>
          <w:color w:val="auto"/>
          <w:sz w:val="32"/>
          <w:szCs w:val="32"/>
        </w:rPr>
        <w:t>征收</w:t>
      </w:r>
      <w:r>
        <w:rPr>
          <w:rFonts w:ascii="仿宋" w:eastAsia="仿宋" w:cs="仿宋" w:hint="eastAsia"/>
          <w:color w:val="auto"/>
          <w:sz w:val="32"/>
          <w:szCs w:val="32"/>
          <w:lang w:val="en-US" w:eastAsia="zh-CN"/>
        </w:rPr>
        <w:t>科</w:t>
      </w:r>
      <w:r>
        <w:rPr>
          <w:rFonts w:ascii="仿宋" w:eastAsia="仿宋" w:cs="仿宋" w:hint="eastAsia"/>
          <w:color w:val="auto"/>
          <w:sz w:val="32"/>
          <w:szCs w:val="32"/>
        </w:rPr>
        <w:t>、规划和自然资源</w:t>
      </w:r>
      <w:r>
        <w:rPr>
          <w:rFonts w:ascii="仿宋" w:eastAsia="仿宋" w:cs="仿宋" w:hint="eastAsia"/>
          <w:color w:val="auto"/>
          <w:sz w:val="32"/>
          <w:szCs w:val="32"/>
          <w:lang w:val="en-US" w:eastAsia="zh-CN"/>
        </w:rPr>
        <w:t>科</w:t>
      </w:r>
      <w:r>
        <w:rPr>
          <w:rFonts w:ascii="仿宋" w:eastAsia="仿宋" w:cs="仿宋" w:hint="eastAsia"/>
          <w:color w:val="auto"/>
          <w:sz w:val="32"/>
          <w:szCs w:val="32"/>
        </w:rPr>
        <w:t>）。认定组成员单位</w:t>
      </w:r>
      <w:r>
        <w:rPr>
          <w:rFonts w:ascii="仿宋" w:eastAsia="仿宋" w:cs="仿宋" w:hint="eastAsia"/>
          <w:color w:val="auto"/>
          <w:sz w:val="32"/>
          <w:szCs w:val="32"/>
          <w:lang w:val="en-US" w:eastAsia="zh-CN"/>
        </w:rPr>
        <w:t>指定专人代表本单位进行</w:t>
      </w:r>
      <w:r>
        <w:rPr>
          <w:rFonts w:ascii="仿宋" w:eastAsia="仿宋" w:cs="仿宋" w:hint="eastAsia"/>
          <w:color w:val="auto"/>
          <w:sz w:val="32"/>
          <w:szCs w:val="32"/>
        </w:rPr>
        <w:t>房屋的认定</w:t>
      </w:r>
      <w:r>
        <w:rPr>
          <w:rFonts w:ascii="仿宋" w:eastAsia="仿宋" w:cs="仿宋" w:hint="eastAsia"/>
          <w:color w:val="auto"/>
          <w:sz w:val="32"/>
          <w:szCs w:val="32"/>
          <w:lang w:val="en-US" w:eastAsia="zh-CN"/>
        </w:rPr>
        <w:t>工作，并在“房屋</w:t>
      </w:r>
      <w:r>
        <w:rPr>
          <w:rFonts w:ascii="仿宋" w:eastAsia="仿宋" w:cs="仿宋" w:hint="eastAsia"/>
          <w:color w:val="auto"/>
          <w:sz w:val="32"/>
          <w:szCs w:val="32"/>
        </w:rPr>
        <w:t>认定</w:t>
      </w:r>
      <w:r>
        <w:rPr>
          <w:rFonts w:ascii="仿宋" w:eastAsia="仿宋" w:cs="仿宋" w:hint="eastAsia"/>
          <w:color w:val="auto"/>
          <w:sz w:val="32"/>
          <w:szCs w:val="32"/>
          <w:lang w:val="en-US" w:eastAsia="zh-CN"/>
        </w:rPr>
        <w:t>单”上签字后加盖本单位公章。</w:t>
      </w:r>
    </w:p>
    <w:p>
      <w:pPr>
        <w:pStyle w:val="29"/>
        <w:keepNext w:val="0"/>
        <w:keepLines w:val="0"/>
        <w:widowControl/>
        <w:spacing w:line="560" w:lineRule="exact"/>
        <w:rPr>
          <w:rFonts w:ascii="仿宋" w:eastAsia="仿宋"/>
          <w:color w:val="auto"/>
          <w:sz w:val="32"/>
          <w:szCs w:val="32"/>
        </w:rPr>
      </w:pPr>
      <w:r>
        <w:rPr>
          <w:rFonts w:ascii="仿宋" w:eastAsia="仿宋" w:hint="eastAsia"/>
          <w:b w:val="0"/>
          <w:bCs/>
          <w:color w:val="auto"/>
          <w:sz w:val="32"/>
          <w:szCs w:val="32"/>
        </w:rPr>
        <w:t xml:space="preserve"> </w:t>
      </w:r>
      <w:r>
        <w:rPr>
          <w:rFonts w:ascii="仿宋" w:eastAsia="仿宋" w:hint="eastAsia"/>
          <w:color w:val="auto"/>
          <w:sz w:val="32"/>
          <w:szCs w:val="32"/>
        </w:rPr>
        <w:t>（1）独立院落“唯一居住房屋”的认定</w:t>
      </w:r>
      <w:r>
        <w:rPr>
          <w:rFonts w:ascii="楷体" w:eastAsia="楷体" w:cs="楷体" w:hint="eastAsia"/>
          <w:color w:val="auto"/>
          <w:sz w:val="32"/>
          <w:szCs w:val="32"/>
        </w:rPr>
        <w:t>及补偿</w:t>
      </w:r>
    </w:p>
    <w:p>
      <w:pPr>
        <w:spacing w:line="560" w:lineRule="exact"/>
        <w:ind w:firstLineChars="200" w:firstLine="640"/>
        <w:rPr>
          <w:rFonts w:ascii="仿宋" w:eastAsia="仿宋" w:cs="仿宋"/>
          <w:bCs/>
          <w:sz w:val="32"/>
          <w:szCs w:val="32"/>
        </w:rPr>
      </w:pPr>
      <w:r>
        <w:rPr>
          <w:rFonts w:ascii="仿宋" w:eastAsia="仿宋" w:cs="仿宋" w:hint="eastAsia"/>
          <w:bCs/>
          <w:sz w:val="32"/>
          <w:szCs w:val="32"/>
        </w:rPr>
        <w:t>本村村民在村屯用地范围内独立院落中的唯一居住房屋，未办理证照，且在本村未出售、转让过房屋的，经本人提出申请，由房屋认定组进行唯一居住房屋认定，并在征收区域内公示7日无异议后，参照有证房屋予以安置补偿。认定面积最大不超过120㎡</w:t>
      </w:r>
      <w:r>
        <w:rPr>
          <w:rFonts w:ascii="仿宋" w:eastAsia="仿宋" w:cs="仿宋" w:hint="eastAsia"/>
          <w:sz w:val="32"/>
          <w:szCs w:val="32"/>
        </w:rPr>
        <w:t>（含120</w:t>
      </w:r>
      <w:r>
        <w:rPr>
          <w:rFonts w:ascii="仿宋" w:eastAsia="仿宋" w:cs="仿宋" w:hint="eastAsia"/>
          <w:bCs/>
          <w:sz w:val="32"/>
          <w:szCs w:val="32"/>
        </w:rPr>
        <w:t>㎡</w:t>
      </w:r>
      <w:r>
        <w:rPr>
          <w:rFonts w:ascii="仿宋" w:eastAsia="仿宋" w:cs="仿宋" w:hint="eastAsia"/>
          <w:sz w:val="32"/>
          <w:szCs w:val="32"/>
        </w:rPr>
        <w:t>）</w:t>
      </w:r>
      <w:r>
        <w:rPr>
          <w:rFonts w:ascii="仿宋" w:eastAsia="仿宋" w:cs="仿宋" w:hint="eastAsia"/>
          <w:bCs/>
          <w:sz w:val="32"/>
          <w:szCs w:val="32"/>
        </w:rPr>
        <w:t>，小于120㎡的按实际面积认定。超出120㎡的部分按无证照房屋补偿。</w:t>
      </w:r>
    </w:p>
    <w:p>
      <w:pPr>
        <w:spacing w:line="560" w:lineRule="exact"/>
        <w:ind w:firstLineChars="200" w:firstLine="640"/>
        <w:rPr>
          <w:rFonts w:ascii="仿宋" w:eastAsia="仿宋" w:cs="仿宋"/>
          <w:bCs/>
          <w:sz w:val="32"/>
          <w:szCs w:val="32"/>
        </w:rPr>
      </w:pPr>
      <w:r>
        <w:rPr>
          <w:rFonts w:ascii="仿宋" w:eastAsia="仿宋" w:cs="仿宋" w:hint="eastAsia"/>
          <w:bCs/>
          <w:sz w:val="32"/>
          <w:szCs w:val="32"/>
        </w:rPr>
        <w:t>非本村村民需开具原居住地及本市房地局无住房证明后，参照上述办法予以认定。</w:t>
      </w:r>
    </w:p>
    <w:p>
      <w:pPr>
        <w:pStyle w:val="30"/>
        <w:keepNext w:val="0"/>
        <w:keepLines w:val="0"/>
        <w:widowControl/>
        <w:spacing w:line="560" w:lineRule="exact"/>
        <w:rPr>
          <w:rFonts w:ascii="楷体" w:eastAsia="楷体" w:cs="楷体"/>
          <w:color w:val="auto"/>
          <w:sz w:val="32"/>
          <w:szCs w:val="32"/>
        </w:rPr>
      </w:pPr>
      <w:r>
        <w:rPr>
          <w:rFonts w:ascii="仿宋" w:eastAsia="仿宋" w:hint="eastAsia"/>
          <w:color w:val="auto"/>
          <w:sz w:val="32"/>
          <w:szCs w:val="32"/>
        </w:rPr>
        <w:t>（2）</w:t>
      </w:r>
      <w:r>
        <w:rPr>
          <w:rFonts w:ascii="楷体" w:eastAsia="楷体" w:cs="楷体" w:hint="eastAsia"/>
          <w:color w:val="auto"/>
          <w:sz w:val="32"/>
          <w:szCs w:val="32"/>
        </w:rPr>
        <w:t>独立院落“老房翻建”的认定及补偿</w:t>
      </w:r>
    </w:p>
    <w:p>
      <w:pPr>
        <w:adjustRightInd w:val="0"/>
        <w:snapToGrid w:val="0"/>
        <w:spacing w:line="560" w:lineRule="exact"/>
        <w:ind w:firstLineChars="200" w:firstLine="640"/>
        <w:rPr>
          <w:rFonts w:ascii="仿宋" w:eastAsia="仿宋" w:cs="仿宋"/>
          <w:bCs/>
          <w:sz w:val="32"/>
          <w:szCs w:val="32"/>
        </w:rPr>
      </w:pPr>
      <w:r>
        <w:rPr>
          <w:rFonts w:ascii="仿宋" w:eastAsia="仿宋" w:cs="仿宋" w:hint="eastAsia"/>
          <w:bCs/>
          <w:sz w:val="32"/>
          <w:szCs w:val="32"/>
        </w:rPr>
        <w:t>本村村民在自家独立院落，有合法证照并于区划后普查前已翻建扩建的房屋，由认定组认定后，参照有证房屋予以安置补偿。认定面积最大不超过120㎡</w:t>
      </w:r>
      <w:r>
        <w:rPr>
          <w:rFonts w:ascii="仿宋" w:eastAsia="仿宋" w:cs="仿宋" w:hint="eastAsia"/>
          <w:sz w:val="32"/>
          <w:szCs w:val="32"/>
        </w:rPr>
        <w:t>（含120</w:t>
      </w:r>
      <w:r>
        <w:rPr>
          <w:rFonts w:ascii="仿宋" w:eastAsia="仿宋" w:cs="仿宋" w:hint="eastAsia"/>
          <w:bCs/>
          <w:sz w:val="32"/>
          <w:szCs w:val="32"/>
        </w:rPr>
        <w:t>㎡</w:t>
      </w:r>
      <w:r>
        <w:rPr>
          <w:rFonts w:ascii="仿宋" w:eastAsia="仿宋" w:cs="仿宋" w:hint="eastAsia"/>
          <w:sz w:val="32"/>
          <w:szCs w:val="32"/>
        </w:rPr>
        <w:t>）</w:t>
      </w:r>
      <w:r>
        <w:rPr>
          <w:rFonts w:ascii="仿宋" w:eastAsia="仿宋" w:cs="仿宋" w:hint="eastAsia"/>
          <w:bCs/>
          <w:sz w:val="32"/>
          <w:szCs w:val="32"/>
        </w:rPr>
        <w:t>，小于120㎡的按实际面积认定。超出120㎡的部分按无证照房屋补偿。</w:t>
      </w:r>
    </w:p>
    <w:p>
      <w:pPr>
        <w:pStyle w:val="30"/>
        <w:keepNext w:val="0"/>
        <w:keepLines w:val="0"/>
        <w:widowControl/>
        <w:spacing w:line="560" w:lineRule="exact"/>
        <w:rPr>
          <w:rFonts w:ascii="仿宋" w:eastAsia="楷体" w:hAnsi="仿宋"/>
          <w:color w:val="auto"/>
          <w:sz w:val="32"/>
          <w:szCs w:val="32"/>
        </w:rPr>
      </w:pPr>
      <w:r>
        <w:rPr>
          <w:rFonts w:ascii="楷体" w:eastAsia="楷体" w:cs="楷体" w:hint="eastAsia"/>
          <w:color w:val="auto"/>
          <w:sz w:val="32"/>
          <w:szCs w:val="32"/>
        </w:rPr>
        <w:t>（3）</w:t>
      </w:r>
      <w:r>
        <w:rPr>
          <w:rFonts w:ascii="仿宋" w:eastAsia="仿宋" w:hint="eastAsia"/>
          <w:color w:val="auto"/>
          <w:sz w:val="32"/>
          <w:szCs w:val="32"/>
        </w:rPr>
        <w:t>独立院落“其</w:t>
      </w:r>
      <w:r>
        <w:rPr>
          <w:rFonts w:ascii="仿宋" w:eastAsia="文泉驿正黑" w:hAnsi="仿宋"/>
          <w:color w:val="auto"/>
          <w:sz w:val="32"/>
          <w:szCs w:val="32"/>
        </w:rPr>
        <w:t>他</w:t>
      </w:r>
      <w:r>
        <w:rPr>
          <w:rFonts w:ascii="仿宋" w:eastAsia="仿宋" w:hint="eastAsia"/>
          <w:color w:val="auto"/>
          <w:sz w:val="32"/>
          <w:szCs w:val="32"/>
        </w:rPr>
        <w:t>居住房屋”（一宅多户）的认定</w:t>
      </w:r>
      <w:r>
        <w:rPr>
          <w:rFonts w:ascii="楷体" w:eastAsia="楷体" w:cs="楷体" w:hint="eastAsia"/>
          <w:color w:val="auto"/>
          <w:sz w:val="32"/>
          <w:szCs w:val="32"/>
        </w:rPr>
        <w:t>及补偿</w:t>
      </w:r>
    </w:p>
    <w:p>
      <w:pPr>
        <w:spacing w:line="560" w:lineRule="exact"/>
        <w:ind w:firstLineChars="200" w:firstLine="640"/>
        <w:rPr>
          <w:rFonts w:ascii="仿宋" w:eastAsia="仿宋" w:cs="仿宋"/>
          <w:bCs/>
          <w:sz w:val="32"/>
          <w:szCs w:val="32"/>
        </w:rPr>
      </w:pPr>
      <w:r>
        <w:rPr>
          <w:rFonts w:ascii="仿宋" w:eastAsia="仿宋" w:cs="仿宋" w:hint="eastAsia"/>
          <w:bCs/>
          <w:sz w:val="32"/>
          <w:szCs w:val="32"/>
        </w:rPr>
        <w:t>针对有证照房屋或被认定为</w:t>
      </w:r>
      <w:r>
        <w:rPr>
          <w:rFonts w:ascii="仿宋" w:eastAsia="仿宋" w:hint="eastAsia"/>
          <w:sz w:val="32"/>
          <w:szCs w:val="32"/>
        </w:rPr>
        <w:t>“唯一居住房屋”的</w:t>
      </w:r>
      <w:r>
        <w:rPr>
          <w:rFonts w:ascii="仿宋" w:eastAsia="仿宋" w:cs="仿宋" w:hint="eastAsia"/>
          <w:bCs/>
          <w:sz w:val="32"/>
          <w:szCs w:val="32"/>
        </w:rPr>
        <w:t>“一宅多户”院落，属于本村户籍或在本社有承包地的，年满婚育年龄（男22周岁、女20周岁）的被征收人，经本人提出申请，由认定组进行</w:t>
      </w:r>
      <w:r>
        <w:rPr>
          <w:rFonts w:ascii="仿宋" w:eastAsia="仿宋" w:hint="eastAsia"/>
          <w:sz w:val="32"/>
          <w:szCs w:val="32"/>
        </w:rPr>
        <w:t>“其</w:t>
      </w:r>
      <w:r>
        <w:rPr>
          <w:rFonts w:ascii="仿宋" w:eastAsia="文泉驿正黑" w:hAnsi="仿宋"/>
          <w:sz w:val="32"/>
          <w:szCs w:val="32"/>
        </w:rPr>
        <w:t>他</w:t>
      </w:r>
      <w:r>
        <w:rPr>
          <w:rFonts w:ascii="仿宋" w:eastAsia="仿宋" w:hint="eastAsia"/>
          <w:sz w:val="32"/>
          <w:szCs w:val="32"/>
        </w:rPr>
        <w:t>居住房屋”</w:t>
      </w:r>
      <w:r>
        <w:rPr>
          <w:rFonts w:ascii="仿宋" w:eastAsia="仿宋" w:cs="仿宋" w:hint="eastAsia"/>
          <w:bCs/>
          <w:sz w:val="32"/>
          <w:szCs w:val="32"/>
        </w:rPr>
        <w:t>认定，并在征收区域公示7日无异议后，给予安置补偿。</w:t>
      </w:r>
    </w:p>
    <w:p>
      <w:pPr>
        <w:spacing w:line="560" w:lineRule="exact"/>
        <w:ind w:firstLineChars="200" w:firstLine="640"/>
        <w:rPr>
          <w:rFonts w:ascii="仿宋" w:eastAsia="仿宋" w:cs="仿宋"/>
          <w:bCs/>
          <w:sz w:val="32"/>
          <w:szCs w:val="32"/>
        </w:rPr>
      </w:pPr>
      <w:r>
        <w:rPr>
          <w:rFonts w:ascii="仿宋" w:eastAsia="仿宋" w:cs="仿宋" w:hint="eastAsia"/>
          <w:bCs/>
          <w:sz w:val="32"/>
          <w:szCs w:val="32"/>
        </w:rPr>
        <w:t>认定为一个其</w:t>
      </w:r>
      <w:r>
        <w:rPr>
          <w:rFonts w:ascii="仿宋" w:eastAsia="文泉驿正黑" w:cs="仿宋" w:hAnsi="仿宋"/>
          <w:bCs/>
          <w:sz w:val="32"/>
          <w:szCs w:val="32"/>
        </w:rPr>
        <w:t>他</w:t>
      </w:r>
      <w:r>
        <w:rPr>
          <w:rFonts w:ascii="仿宋" w:eastAsia="仿宋" w:cs="仿宋" w:hint="eastAsia"/>
          <w:bCs/>
          <w:sz w:val="32"/>
          <w:szCs w:val="32"/>
        </w:rPr>
        <w:t>居住房屋的，可选择64㎡安置；多个家庭成员的，且家庭成员是本村户籍或本社有承包地的，可以按照人均30㎡安置。认定为两个（含两个）以上其</w:t>
      </w:r>
      <w:r>
        <w:rPr>
          <w:rFonts w:ascii="仿宋" w:eastAsia="文泉驿正黑" w:cs="仿宋" w:hAnsi="仿宋"/>
          <w:bCs/>
          <w:sz w:val="32"/>
          <w:szCs w:val="32"/>
        </w:rPr>
        <w:t>他</w:t>
      </w:r>
      <w:r>
        <w:rPr>
          <w:rFonts w:ascii="仿宋" w:eastAsia="仿宋" w:cs="仿宋" w:hint="eastAsia"/>
          <w:bCs/>
          <w:sz w:val="32"/>
          <w:szCs w:val="32"/>
        </w:rPr>
        <w:t>居住房屋的，按照人均30㎡认定安置。房屋实际建筑面积小于认定面积的，按照实际建筑面积认定。每个房屋最大认定面积不超过120平方米。在征收期间，由于服刑、服役或属于在校学生，导致户籍暂时迁出的，适用本方案。</w:t>
      </w:r>
    </w:p>
    <w:p>
      <w:pPr>
        <w:spacing w:line="560" w:lineRule="exact"/>
        <w:ind w:firstLineChars="200" w:firstLine="640"/>
        <w:rPr>
          <w:rFonts w:ascii="仿宋" w:eastAsia="仿宋" w:cs="仿宋"/>
          <w:bCs/>
          <w:sz w:val="32"/>
          <w:szCs w:val="32"/>
        </w:rPr>
      </w:pPr>
      <w:r>
        <w:rPr>
          <w:rFonts w:ascii="仿宋" w:eastAsia="仿宋" w:cs="仿宋" w:hint="eastAsia"/>
          <w:sz w:val="32"/>
          <w:szCs w:val="32"/>
        </w:rPr>
        <w:t>“其他居住房屋”</w:t>
      </w:r>
      <w:r>
        <w:rPr>
          <w:rFonts w:ascii="仿宋" w:eastAsia="仿宋" w:hint="eastAsia"/>
          <w:sz w:val="32"/>
          <w:szCs w:val="32"/>
        </w:rPr>
        <w:t>（一宅多户）</w:t>
      </w:r>
      <w:r>
        <w:rPr>
          <w:rFonts w:ascii="仿宋" w:eastAsia="仿宋" w:cs="仿宋" w:hint="eastAsia"/>
          <w:bCs/>
          <w:sz w:val="32"/>
          <w:szCs w:val="32"/>
        </w:rPr>
        <w:t>被征收人选择房屋产权调换的，</w:t>
      </w:r>
      <w:r>
        <w:rPr>
          <w:rFonts w:ascii="仿宋" w:eastAsia="仿宋" w:cs="仿宋" w:hint="eastAsia"/>
          <w:sz w:val="32"/>
          <w:szCs w:val="32"/>
        </w:rPr>
        <w:t>可以按照</w:t>
      </w:r>
      <w:r>
        <w:rPr>
          <w:rFonts w:ascii="仿宋" w:eastAsia="仿宋" w:cs="仿宋" w:hint="eastAsia"/>
          <w:bCs/>
          <w:sz w:val="32"/>
          <w:szCs w:val="32"/>
        </w:rPr>
        <w:t>被征收房屋的认定面积就近上靠标准户型进行产权调换。被征收房屋认定面积与产权调换房屋建筑面积相等的部分，不结算差价;产权调换房屋建筑面积超出被征收房屋认定面积的部分，按照本方案公布之日前建设主管部门最新公布的住宅建筑安装工程造价交纳面积差额款。被征收人超过就近上靠标准户型建筑面积进行产权调换的，超过就近上靠标准户型建筑面积的部分按照产权调换房屋的市场价格交纳面积差额款。</w:t>
      </w:r>
    </w:p>
    <w:p>
      <w:pPr>
        <w:pStyle w:val="30"/>
        <w:keepNext w:val="0"/>
        <w:keepLines w:val="0"/>
        <w:widowControl/>
        <w:spacing w:line="560" w:lineRule="exact"/>
        <w:rPr>
          <w:rFonts w:ascii="楷体" w:eastAsia="楷体" w:cs="楷体"/>
          <w:b w:val="0"/>
          <w:color w:val="auto"/>
          <w:sz w:val="32"/>
          <w:szCs w:val="32"/>
        </w:rPr>
      </w:pPr>
      <w:r>
        <w:rPr>
          <w:rFonts w:ascii="楷体" w:eastAsia="楷体" w:cs="楷体" w:hint="eastAsia"/>
          <w:b w:val="0"/>
          <w:color w:val="auto"/>
          <w:sz w:val="32"/>
          <w:szCs w:val="32"/>
        </w:rPr>
        <w:t>3</w:t>
      </w:r>
      <w:r>
        <w:rPr>
          <w:rFonts w:ascii="楷体" w:eastAsia="楷体" w:cs="楷体" w:hint="eastAsia"/>
          <w:b/>
          <w:bCs/>
          <w:color w:val="auto"/>
          <w:sz w:val="32"/>
          <w:szCs w:val="32"/>
        </w:rPr>
        <w:t>、临时安置补偿费</w:t>
      </w:r>
    </w:p>
    <w:p>
      <w:pPr>
        <w:spacing w:line="560" w:lineRule="exact"/>
        <w:ind w:firstLineChars="200" w:firstLine="640"/>
        <w:rPr>
          <w:rFonts w:ascii="文泉驿正黑" w:eastAsia="仿宋" w:cs="仿宋" w:hAnsi="文泉驿正黑"/>
          <w:bCs/>
          <w:sz w:val="32"/>
          <w:szCs w:val="32"/>
        </w:rPr>
      </w:pPr>
      <w:r>
        <w:rPr>
          <w:rFonts w:ascii="仿宋" w:eastAsia="仿宋" w:cs="仿宋" w:hint="eastAsia"/>
          <w:bCs/>
          <w:sz w:val="32"/>
          <w:szCs w:val="32"/>
        </w:rPr>
        <w:t>临时安置补偿费标准为21元/㎡/月。按照被征收有证照房屋的实际建筑面积或</w:t>
      </w:r>
      <w:r>
        <w:rPr>
          <w:rFonts w:ascii="仿宋" w:eastAsia="仿宋" w:cs="仿宋" w:hint="eastAsia"/>
          <w:sz w:val="32"/>
          <w:szCs w:val="32"/>
        </w:rPr>
        <w:t>“唯一居住房屋”“老房翻建”“其他居住房屋”的</w:t>
      </w:r>
      <w:r>
        <w:rPr>
          <w:rFonts w:ascii="仿宋" w:eastAsia="仿宋" w:cs="仿宋" w:hint="eastAsia"/>
          <w:bCs/>
          <w:sz w:val="32"/>
          <w:szCs w:val="32"/>
        </w:rPr>
        <w:t>认定面积计算。</w:t>
      </w:r>
    </w:p>
    <w:p>
      <w:pPr>
        <w:numPr>
          <w:ilvl w:val="0"/>
          <w:numId w:val="1"/>
        </w:numPr>
        <w:spacing w:line="560" w:lineRule="exact"/>
        <w:ind w:left="0" w:firstLineChars="200" w:firstLine="640"/>
        <w:rPr>
          <w:rFonts w:ascii="仿宋" w:eastAsia="仿宋" w:cs="仿宋"/>
          <w:bCs/>
          <w:sz w:val="32"/>
          <w:szCs w:val="32"/>
        </w:rPr>
      </w:pPr>
      <w:r>
        <w:rPr>
          <w:rFonts w:ascii="仿宋" w:eastAsia="仿宋" w:cs="仿宋" w:hint="eastAsia"/>
          <w:bCs/>
          <w:sz w:val="32"/>
          <w:szCs w:val="32"/>
        </w:rPr>
        <w:t>被征收人选择房屋产权调换的，按实际过渡期限计算，每6个月向被征收人发放一次临时安置补偿费(每6个月的第一个月发放)，不足半个月的按照半个月发放，超过半个月不足一个月的按照1个月发放。</w:t>
      </w:r>
    </w:p>
    <w:p>
      <w:pPr>
        <w:spacing w:line="560" w:lineRule="exact"/>
        <w:ind w:firstLineChars="200" w:firstLine="640"/>
        <w:rPr>
          <w:rFonts w:ascii="仿宋" w:eastAsia="仿宋" w:cs="仿宋"/>
          <w:bCs/>
          <w:sz w:val="32"/>
          <w:szCs w:val="32"/>
        </w:rPr>
      </w:pPr>
      <w:r>
        <w:rPr>
          <w:rFonts w:ascii="仿宋" w:eastAsia="仿宋" w:cs="仿宋" w:hint="eastAsia"/>
          <w:bCs/>
          <w:sz w:val="32"/>
          <w:szCs w:val="32"/>
        </w:rPr>
        <w:t>（2）房屋安置过渡期限原则上不超过24个月。非因被征收人原因超过过渡期限的，自逾期之日起增发临时安置补偿费。逾期不足3个月的，每月增发50%;逾期超过3个月的，每月增发100%。</w:t>
      </w:r>
    </w:p>
    <w:p>
      <w:pPr>
        <w:spacing w:line="560" w:lineRule="exact"/>
        <w:ind w:firstLineChars="200" w:firstLine="640"/>
        <w:rPr>
          <w:rFonts w:ascii="仿宋" w:eastAsia="仿宋" w:cs="仿宋"/>
          <w:bCs/>
          <w:sz w:val="32"/>
          <w:szCs w:val="32"/>
        </w:rPr>
      </w:pPr>
      <w:r>
        <w:rPr>
          <w:rFonts w:ascii="仿宋" w:eastAsia="仿宋" w:cs="仿宋" w:hint="eastAsia"/>
          <w:bCs/>
          <w:sz w:val="32"/>
          <w:szCs w:val="32"/>
        </w:rPr>
        <w:t>（3）被征收人选择货币补偿的，按被征收有证照房屋的实际建筑面积或</w:t>
      </w:r>
      <w:r>
        <w:rPr>
          <w:rFonts w:ascii="仿宋" w:eastAsia="仿宋" w:cs="仿宋" w:hint="eastAsia"/>
          <w:sz w:val="32"/>
          <w:szCs w:val="32"/>
        </w:rPr>
        <w:t>“唯一居住房屋”“老房翻建”的</w:t>
      </w:r>
      <w:r>
        <w:rPr>
          <w:rFonts w:ascii="仿宋" w:eastAsia="仿宋" w:cs="仿宋" w:hint="eastAsia"/>
          <w:bCs/>
          <w:sz w:val="32"/>
          <w:szCs w:val="32"/>
        </w:rPr>
        <w:t>认定面积一次性发放3个月。</w:t>
      </w:r>
    </w:p>
    <w:p>
      <w:pPr>
        <w:spacing w:line="560" w:lineRule="exact"/>
        <w:ind w:firstLineChars="200" w:firstLine="640"/>
        <w:rPr>
          <w:rFonts w:ascii="楷体" w:eastAsia="楷体" w:cs="楷体"/>
          <w:b/>
          <w:bCs w:val="0"/>
          <w:sz w:val="32"/>
          <w:szCs w:val="32"/>
        </w:rPr>
      </w:pPr>
      <w:r>
        <w:rPr>
          <w:rFonts w:ascii="楷体" w:eastAsia="楷体" w:cs="楷体" w:hint="eastAsia"/>
          <w:b/>
          <w:bCs w:val="0"/>
          <w:sz w:val="32"/>
          <w:szCs w:val="32"/>
        </w:rPr>
        <w:t>4、搬迁的补偿</w:t>
      </w:r>
    </w:p>
    <w:p>
      <w:pPr>
        <w:spacing w:line="560" w:lineRule="exact"/>
        <w:ind w:firstLineChars="200" w:firstLine="640"/>
        <w:rPr>
          <w:rFonts w:ascii="仿宋" w:eastAsia="仿宋" w:cs="仿宋"/>
          <w:bCs/>
          <w:sz w:val="32"/>
          <w:szCs w:val="32"/>
        </w:rPr>
      </w:pPr>
      <w:r>
        <w:rPr>
          <w:rFonts w:ascii="仿宋" w:eastAsia="仿宋" w:cs="仿宋" w:hint="eastAsia"/>
          <w:bCs/>
          <w:sz w:val="32"/>
          <w:szCs w:val="32"/>
        </w:rPr>
        <w:t>征收住宅房屋，按照1100元/户的标准给予被征收人搬迁补偿。</w:t>
      </w:r>
    </w:p>
    <w:p>
      <w:pPr>
        <w:spacing w:line="560" w:lineRule="exact"/>
        <w:ind w:firstLineChars="200" w:firstLine="640"/>
        <w:outlineLvl w:val="0"/>
        <w:rPr>
          <w:rFonts w:ascii="楷体" w:eastAsia="楷体" w:cs="楷体"/>
          <w:b/>
          <w:sz w:val="32"/>
          <w:szCs w:val="32"/>
        </w:rPr>
      </w:pPr>
      <w:r>
        <w:rPr>
          <w:rFonts w:ascii="楷体" w:eastAsia="楷体" w:cs="楷体" w:hint="eastAsia"/>
          <w:b/>
          <w:sz w:val="32"/>
          <w:szCs w:val="32"/>
        </w:rPr>
        <w:t>5、住宅房屋用于经营活动的补助</w:t>
      </w:r>
    </w:p>
    <w:p>
      <w:pPr>
        <w:spacing w:line="560" w:lineRule="exact"/>
        <w:ind w:firstLineChars="200" w:firstLine="640"/>
        <w:outlineLvl w:val="0"/>
        <w:rPr>
          <w:rFonts w:ascii="仿宋" w:eastAsia="仿宋" w:cs="仿宋"/>
          <w:bCs/>
          <w:sz w:val="32"/>
          <w:szCs w:val="32"/>
        </w:rPr>
      </w:pPr>
      <w:r>
        <w:rPr>
          <w:rFonts w:ascii="仿宋" w:eastAsia="仿宋" w:cs="仿宋" w:hint="eastAsia"/>
          <w:bCs/>
          <w:sz w:val="32"/>
          <w:szCs w:val="32"/>
        </w:rPr>
        <w:t>住宅房屋用于经营性活动的，按照住宅房屋进行补偿。被征收人在《征收范围公告》发布前依法取得工商营业执照，注册地址在本社，按照下例标准给予被征收人一次性经济补助：从事服务业的，给予10000元补助；从事生产加工的，给予5000元补助；从事办公、仓储的，给予3000元补助。</w:t>
      </w:r>
    </w:p>
    <w:p>
      <w:pPr>
        <w:pStyle w:val="29"/>
        <w:keepNext w:val="0"/>
        <w:keepLines w:val="0"/>
        <w:widowControl/>
        <w:spacing w:line="560" w:lineRule="exact"/>
        <w:rPr>
          <w:rFonts w:ascii="黑体" w:eastAsia="黑体" w:cs="黑体"/>
          <w:color w:val="auto"/>
          <w:sz w:val="32"/>
          <w:szCs w:val="32"/>
        </w:rPr>
      </w:pPr>
      <w:r>
        <w:rPr>
          <w:rFonts w:ascii="黑体" w:eastAsia="黑体" w:cs="黑体" w:hint="eastAsia"/>
          <w:color w:val="auto"/>
          <w:sz w:val="32"/>
          <w:szCs w:val="32"/>
        </w:rPr>
        <w:t>第四条   奖励</w:t>
      </w:r>
    </w:p>
    <w:p>
      <w:pPr>
        <w:spacing w:line="560" w:lineRule="exact"/>
        <w:ind w:firstLineChars="200" w:firstLine="640"/>
        <w:jc w:val="left"/>
        <w:rPr>
          <w:rFonts w:ascii="文泉驿正黑" w:eastAsia="仿宋" w:cs="仿宋" w:hAnsi="文泉驿正黑"/>
          <w:bCs/>
          <w:sz w:val="32"/>
          <w:szCs w:val="32"/>
        </w:rPr>
      </w:pPr>
      <w:r>
        <w:rPr>
          <w:rFonts w:ascii="仿宋" w:eastAsia="仿宋" w:cs="仿宋" w:hint="eastAsia"/>
          <w:bCs/>
          <w:sz w:val="32"/>
          <w:szCs w:val="32"/>
        </w:rPr>
        <w:t>1、选择产权调换并在征收期限内签订补偿协议的有证照房屋</w:t>
      </w:r>
      <w:r>
        <w:rPr>
          <w:rFonts w:ascii="仿宋" w:eastAsia="仿宋" w:cs="仿宋" w:hint="eastAsia"/>
          <w:sz w:val="32"/>
          <w:szCs w:val="32"/>
        </w:rPr>
        <w:t>“唯一居住房屋”“老房翻建房屋”的</w:t>
      </w:r>
      <w:r>
        <w:rPr>
          <w:rFonts w:ascii="仿宋" w:eastAsia="仿宋" w:cs="仿宋" w:hint="eastAsia"/>
          <w:bCs/>
          <w:sz w:val="32"/>
          <w:szCs w:val="32"/>
        </w:rPr>
        <w:t>被征收人，给予17万元院落奖励。</w:t>
      </w:r>
    </w:p>
    <w:p>
      <w:pPr>
        <w:spacing w:line="560" w:lineRule="exact"/>
        <w:ind w:firstLineChars="200" w:firstLine="640"/>
        <w:jc w:val="left"/>
        <w:rPr>
          <w:rFonts w:ascii="仿宋" w:eastAsia="仿宋" w:cs="仿宋"/>
          <w:bCs/>
          <w:sz w:val="32"/>
          <w:szCs w:val="32"/>
        </w:rPr>
      </w:pPr>
      <w:r>
        <w:rPr>
          <w:rFonts w:ascii="仿宋" w:eastAsia="仿宋" w:cs="仿宋" w:hint="eastAsia"/>
          <w:b/>
          <w:sz w:val="32"/>
          <w:szCs w:val="32"/>
        </w:rPr>
        <w:t>2、</w:t>
      </w:r>
      <w:r>
        <w:rPr>
          <w:rFonts w:ascii="仿宋" w:eastAsia="仿宋" w:cs="仿宋" w:hint="eastAsia"/>
          <w:bCs/>
          <w:sz w:val="32"/>
          <w:szCs w:val="32"/>
        </w:rPr>
        <w:t>在征收期限内签订补偿协议并具有本村土地承包合同,或通过仲裁确定拥有本村土地承包权的被征收人，给予每户3万元采暖奖励。</w:t>
      </w:r>
    </w:p>
    <w:p>
      <w:pPr>
        <w:pStyle w:val="29"/>
        <w:keepNext w:val="0"/>
        <w:keepLines w:val="0"/>
        <w:widowControl/>
        <w:spacing w:line="560" w:lineRule="exact"/>
        <w:rPr>
          <w:rFonts w:ascii="黑体" w:eastAsia="黑体" w:cs="黑体"/>
          <w:color w:val="auto"/>
          <w:sz w:val="32"/>
          <w:szCs w:val="32"/>
        </w:rPr>
      </w:pPr>
      <w:r>
        <w:rPr>
          <w:rFonts w:ascii="黑体" w:eastAsia="黑体" w:cs="黑体" w:hint="eastAsia"/>
          <w:color w:val="auto"/>
          <w:sz w:val="32"/>
          <w:szCs w:val="32"/>
        </w:rPr>
        <w:t>第五条   非住宅房屋补偿</w:t>
      </w:r>
    </w:p>
    <w:p>
      <w:pPr>
        <w:widowControl/>
        <w:spacing w:line="560" w:lineRule="exact"/>
        <w:ind w:firstLineChars="200" w:firstLine="640"/>
        <w:jc w:val="left"/>
        <w:rPr>
          <w:rFonts w:ascii="仿宋" w:eastAsia="仿宋" w:cs="仿宋"/>
          <w:kern w:val="0"/>
          <w:sz w:val="32"/>
          <w:szCs w:val="32"/>
        </w:rPr>
      </w:pPr>
      <w:r>
        <w:rPr>
          <w:rFonts w:ascii="仿宋" w:eastAsia="仿宋" w:cs="仿宋" w:hint="eastAsia"/>
          <w:kern w:val="0"/>
          <w:sz w:val="32"/>
          <w:szCs w:val="32"/>
        </w:rPr>
        <w:t>1、征收非住宅房屋补偿方式为货币补偿，房屋等地上附着物补偿金额以具有相应资质的房地产价格评估机构评估确定。</w:t>
      </w:r>
    </w:p>
    <w:p>
      <w:pPr>
        <w:widowControl/>
        <w:spacing w:line="560" w:lineRule="exact"/>
        <w:ind w:firstLineChars="200" w:firstLine="640"/>
        <w:jc w:val="left"/>
        <w:rPr>
          <w:rFonts w:ascii="仿宋" w:eastAsia="仿宋" w:cs="仿宋"/>
          <w:kern w:val="0"/>
          <w:sz w:val="32"/>
          <w:szCs w:val="32"/>
        </w:rPr>
      </w:pPr>
      <w:r>
        <w:rPr>
          <w:rFonts w:ascii="仿宋" w:eastAsia="仿宋" w:cs="仿宋" w:hint="eastAsia"/>
          <w:kern w:val="0"/>
          <w:sz w:val="32"/>
          <w:szCs w:val="32"/>
        </w:rPr>
        <w:t>2、用于经营的非住宅房屋因征收造成停产停业，且同时符合以下条件的，应当给予停产停业损失补偿；</w:t>
      </w:r>
    </w:p>
    <w:p>
      <w:pPr>
        <w:widowControl/>
        <w:spacing w:line="560" w:lineRule="exact"/>
        <w:ind w:firstLineChars="100" w:firstLine="320"/>
        <w:jc w:val="left"/>
        <w:rPr>
          <w:rFonts w:ascii="仿宋" w:eastAsia="仿宋" w:cs="仿宋"/>
          <w:kern w:val="0"/>
          <w:sz w:val="32"/>
          <w:szCs w:val="32"/>
        </w:rPr>
      </w:pPr>
      <w:r>
        <w:rPr>
          <w:rFonts w:ascii="仿宋" w:eastAsia="仿宋" w:cs="仿宋" w:hint="eastAsia"/>
          <w:kern w:val="0"/>
          <w:sz w:val="32"/>
          <w:szCs w:val="32"/>
        </w:rPr>
        <w:t>（1）不动产权证书或相关证照记载，房屋用途为生产、经营用房等非住宅房屋；</w:t>
      </w:r>
    </w:p>
    <w:p>
      <w:pPr>
        <w:widowControl/>
        <w:spacing w:line="560" w:lineRule="exact"/>
        <w:ind w:firstLineChars="100" w:firstLine="320"/>
        <w:jc w:val="left"/>
        <w:rPr>
          <w:rFonts w:ascii="仿宋" w:eastAsia="仿宋" w:cs="仿宋"/>
          <w:kern w:val="0"/>
          <w:sz w:val="32"/>
          <w:szCs w:val="32"/>
        </w:rPr>
      </w:pPr>
      <w:r>
        <w:rPr>
          <w:rFonts w:ascii="仿宋" w:eastAsia="仿宋" w:cs="仿宋" w:hint="eastAsia"/>
          <w:kern w:val="0"/>
          <w:sz w:val="32"/>
          <w:szCs w:val="32"/>
        </w:rPr>
        <w:t>（2）具有合法、有效的营业执照或者行业主管部门颁发的经营许可，且营业场所为被征收房屋；</w:t>
      </w:r>
    </w:p>
    <w:p>
      <w:pPr>
        <w:widowControl/>
        <w:spacing w:line="560" w:lineRule="exact"/>
        <w:ind w:firstLineChars="100" w:firstLine="320"/>
        <w:jc w:val="left"/>
        <w:rPr>
          <w:rFonts w:ascii="文泉驿正黑" w:eastAsia="仿宋" w:cs="仿宋" w:hAnsi="文泉驿正黑"/>
          <w:kern w:val="0"/>
          <w:sz w:val="32"/>
          <w:szCs w:val="32"/>
        </w:rPr>
      </w:pPr>
      <w:r>
        <w:rPr>
          <w:rFonts w:ascii="仿宋" w:eastAsia="仿宋" w:cs="仿宋" w:hint="eastAsia"/>
          <w:kern w:val="0"/>
          <w:sz w:val="32"/>
          <w:szCs w:val="32"/>
        </w:rPr>
        <w:t>（3）征收决定公告之日仍正常生产经营的；</w:t>
      </w:r>
    </w:p>
    <w:p>
      <w:pPr>
        <w:widowControl/>
        <w:spacing w:line="560" w:lineRule="exact"/>
        <w:ind w:firstLineChars="100" w:firstLine="320"/>
        <w:jc w:val="left"/>
        <w:rPr>
          <w:rFonts w:ascii="仿宋" w:eastAsia="仿宋" w:cs="仿宋"/>
          <w:kern w:val="0"/>
          <w:sz w:val="32"/>
          <w:szCs w:val="32"/>
        </w:rPr>
      </w:pPr>
      <w:r>
        <w:rPr>
          <w:rFonts w:ascii="仿宋" w:eastAsia="仿宋" w:cs="仿宋" w:hint="eastAsia"/>
          <w:kern w:val="0"/>
          <w:sz w:val="32"/>
          <w:szCs w:val="32"/>
        </w:rPr>
        <w:t>（4）法律、法规等另有规定的除外。</w:t>
      </w:r>
    </w:p>
    <w:p>
      <w:pPr>
        <w:widowControl/>
        <w:spacing w:line="560" w:lineRule="exact"/>
        <w:ind w:firstLineChars="200" w:firstLine="640"/>
        <w:jc w:val="left"/>
        <w:rPr>
          <w:rFonts w:ascii="仿宋" w:eastAsia="仿宋" w:cs="仿宋"/>
          <w:kern w:val="0"/>
          <w:sz w:val="32"/>
          <w:szCs w:val="32"/>
        </w:rPr>
      </w:pPr>
      <w:r>
        <w:rPr>
          <w:rFonts w:ascii="仿宋" w:eastAsia="仿宋" w:cs="仿宋" w:hint="eastAsia"/>
          <w:kern w:val="0"/>
          <w:sz w:val="32"/>
          <w:szCs w:val="32"/>
        </w:rPr>
        <w:t>3、因征收非住宅房屋造成停产停业损失的补偿，委托具有相应资质的房地产价格评估机构根据房屋被征收前的效益、停产停业期限等因素通过评估确定。一次性补偿被征收人3个月停产停业损失。</w:t>
      </w:r>
    </w:p>
    <w:p>
      <w:pPr>
        <w:widowControl/>
        <w:spacing w:line="560" w:lineRule="exact"/>
        <w:ind w:firstLineChars="200" w:firstLine="640"/>
        <w:jc w:val="left"/>
        <w:rPr>
          <w:rFonts w:ascii="仿宋" w:eastAsia="仿宋" w:cs="仿宋"/>
          <w:kern w:val="0"/>
          <w:sz w:val="32"/>
          <w:szCs w:val="32"/>
        </w:rPr>
      </w:pPr>
      <w:r>
        <w:rPr>
          <w:rFonts w:ascii="仿宋" w:eastAsia="仿宋" w:cs="仿宋" w:hint="eastAsia"/>
          <w:kern w:val="0"/>
          <w:sz w:val="32"/>
          <w:szCs w:val="32"/>
        </w:rPr>
        <w:t>4、征收非住宅房屋，根据设备拆装、运输所发生的费用给予搬迁补偿；对无法恢复使用的设备，补偿金额由评估机构评估确定。</w:t>
      </w:r>
    </w:p>
    <w:p>
      <w:pPr>
        <w:spacing w:line="560" w:lineRule="exact"/>
        <w:ind w:firstLineChars="200" w:firstLine="640"/>
        <w:outlineLvl w:val="0"/>
        <w:rPr>
          <w:rFonts w:ascii="黑体" w:eastAsia="黑体" w:cs="黑体"/>
          <w:b/>
          <w:sz w:val="32"/>
          <w:szCs w:val="32"/>
        </w:rPr>
      </w:pPr>
      <w:r>
        <w:rPr>
          <w:rFonts w:ascii="黑体" w:eastAsia="黑体" w:cs="黑体" w:hint="eastAsia"/>
          <w:b/>
          <w:sz w:val="32"/>
          <w:szCs w:val="32"/>
        </w:rPr>
        <w:t>第六条   其他附着物补偿</w:t>
      </w:r>
    </w:p>
    <w:p>
      <w:pPr>
        <w:spacing w:line="560" w:lineRule="exact"/>
        <w:ind w:firstLineChars="200" w:firstLine="640"/>
        <w:rPr>
          <w:rFonts w:ascii="仿宋" w:eastAsia="仿宋" w:cs="仿宋"/>
          <w:kern w:val="0"/>
          <w:sz w:val="32"/>
          <w:szCs w:val="32"/>
        </w:rPr>
      </w:pPr>
      <w:r>
        <w:rPr>
          <w:rFonts w:ascii="仿宋" w:eastAsia="仿宋" w:cs="仿宋" w:hint="eastAsia"/>
          <w:b/>
          <w:sz w:val="32"/>
          <w:szCs w:val="32"/>
        </w:rPr>
        <w:t>1、</w:t>
      </w:r>
      <w:r>
        <w:rPr>
          <w:rFonts w:ascii="仿宋" w:eastAsia="仿宋" w:cs="仿宋" w:hint="eastAsia"/>
          <w:bCs/>
          <w:sz w:val="32"/>
          <w:szCs w:val="32"/>
        </w:rPr>
        <w:t>无证照房屋等地上</w:t>
      </w:r>
      <w:r>
        <w:rPr>
          <w:rFonts w:ascii="仿宋" w:eastAsia="仿宋" w:cs="仿宋" w:hint="eastAsia"/>
          <w:kern w:val="0"/>
          <w:sz w:val="32"/>
          <w:szCs w:val="32"/>
        </w:rPr>
        <w:t>附着物补偿金额，由具有相应资质的房地产价格评估机构评估确定。</w:t>
      </w:r>
    </w:p>
    <w:p>
      <w:pPr>
        <w:spacing w:line="560" w:lineRule="exact"/>
        <w:ind w:firstLineChars="200" w:firstLine="640"/>
        <w:rPr>
          <w:rFonts w:ascii="仿宋" w:eastAsia="仿宋" w:cs="仿宋"/>
          <w:bCs/>
          <w:sz w:val="32"/>
          <w:szCs w:val="32"/>
        </w:rPr>
      </w:pPr>
      <w:r>
        <w:rPr>
          <w:rFonts w:ascii="仿宋" w:eastAsia="仿宋" w:cs="仿宋" w:hint="eastAsia"/>
          <w:b/>
          <w:sz w:val="32"/>
          <w:szCs w:val="32"/>
        </w:rPr>
        <w:t>2、</w:t>
      </w:r>
      <w:r>
        <w:rPr>
          <w:rFonts w:ascii="仿宋" w:eastAsia="仿宋" w:cs="仿宋" w:hint="eastAsia"/>
          <w:bCs/>
          <w:sz w:val="32"/>
          <w:szCs w:val="32"/>
        </w:rPr>
        <w:t>坟墓的</w:t>
      </w:r>
      <w:r>
        <w:rPr>
          <w:rFonts w:ascii="仿宋" w:eastAsia="仿宋" w:hint="eastAsia"/>
          <w:sz w:val="32"/>
          <w:szCs w:val="32"/>
        </w:rPr>
        <w:t>迁移</w:t>
      </w:r>
      <w:r>
        <w:rPr>
          <w:rFonts w:ascii="仿宋" w:eastAsia="仿宋" w:cs="仿宋" w:hint="eastAsia"/>
          <w:bCs/>
          <w:sz w:val="32"/>
          <w:szCs w:val="32"/>
        </w:rPr>
        <w:t>补偿：由村委会统计，征收实施部门工作人员审核并留存影像资料，在征收区域内公示7日无异议后，签订补偿协议，补偿标准为5000元/座。对</w:t>
      </w:r>
      <w:r>
        <w:rPr>
          <w:rFonts w:ascii="仿宋" w:eastAsia="仿宋" w:hint="eastAsia"/>
          <w:sz w:val="32"/>
          <w:szCs w:val="32"/>
        </w:rPr>
        <w:t>无人认领的坟墓，由村委会领取并实施迁移。</w:t>
      </w:r>
    </w:p>
    <w:p>
      <w:pPr>
        <w:spacing w:line="560" w:lineRule="exact"/>
        <w:ind w:firstLineChars="200" w:firstLine="640"/>
        <w:rPr>
          <w:rFonts w:ascii="仿宋" w:eastAsia="仿宋" w:cs="仿宋"/>
          <w:bCs/>
          <w:sz w:val="32"/>
          <w:szCs w:val="32"/>
        </w:rPr>
      </w:pPr>
      <w:r>
        <w:rPr>
          <w:rFonts w:ascii="仿宋" w:eastAsia="仿宋" w:cs="仿宋" w:hint="eastAsia"/>
          <w:b/>
          <w:sz w:val="32"/>
          <w:szCs w:val="32"/>
        </w:rPr>
        <w:t>3、</w:t>
      </w:r>
      <w:r>
        <w:rPr>
          <w:rFonts w:ascii="仿宋" w:eastAsia="仿宋" w:cs="仿宋" w:hint="eastAsia"/>
          <w:bCs/>
          <w:sz w:val="32"/>
          <w:szCs w:val="32"/>
        </w:rPr>
        <w:t>对经过实际测量的鱼塘予以补偿，具体补偿标准为：持鱼塘转让合同，合同期限为二十年以上（不含二十年）或者长期的，以39元/㎡的标准补偿；持鱼塘承包合同，期限为二十年以下（含二十年)的，以34元/㎡的标准补偿；无鱼塘承包合同的，由村委会确认权属并出具证明后，按18元/㎡的标准补偿。</w:t>
      </w:r>
    </w:p>
    <w:p>
      <w:pPr>
        <w:spacing w:line="560" w:lineRule="exact"/>
        <w:ind w:firstLineChars="200" w:firstLine="640"/>
        <w:rPr>
          <w:rFonts w:ascii="仿宋" w:eastAsia="仿宋" w:cs="仿宋"/>
          <w:bCs/>
          <w:sz w:val="32"/>
          <w:szCs w:val="32"/>
        </w:rPr>
      </w:pPr>
      <w:r>
        <w:rPr>
          <w:rFonts w:ascii="仿宋" w:eastAsia="仿宋" w:cs="仿宋" w:hint="eastAsia"/>
          <w:bCs/>
          <w:sz w:val="32"/>
          <w:szCs w:val="32"/>
        </w:rPr>
        <w:t>对鱼塘周边未登记的树木、防护林，由测绘公司、林业评估公司、征收实施部门工作人员及被征收人根据现场实际情况出具实查报告,给予权利人补偿。</w:t>
      </w:r>
    </w:p>
    <w:p>
      <w:pPr>
        <w:pStyle w:val="29"/>
        <w:keepNext w:val="0"/>
        <w:keepLines w:val="0"/>
        <w:widowControl/>
        <w:spacing w:line="560" w:lineRule="exact"/>
        <w:rPr>
          <w:rFonts w:ascii="仿宋" w:eastAsia="仿宋"/>
          <w:b w:val="0"/>
          <w:color w:val="auto"/>
          <w:sz w:val="32"/>
          <w:szCs w:val="32"/>
        </w:rPr>
      </w:pPr>
      <w:r>
        <w:rPr>
          <w:rFonts w:ascii="仿宋" w:eastAsia="仿宋" w:hint="eastAsia"/>
          <w:b w:val="0"/>
          <w:color w:val="auto"/>
          <w:sz w:val="32"/>
          <w:szCs w:val="32"/>
        </w:rPr>
        <w:t>4、用于生产经营并普查登记在册的温室、大棚种植的青菜，依据温室、大棚的测绘面积按照15元/㎡标准给予被征收人补偿。</w:t>
      </w:r>
    </w:p>
    <w:p>
      <w:pPr>
        <w:spacing w:line="560" w:lineRule="exact"/>
        <w:ind w:firstLineChars="200" w:firstLine="640"/>
        <w:outlineLvl w:val="0"/>
        <w:rPr>
          <w:rFonts w:ascii="黑体" w:eastAsia="黑体" w:cs="黑体"/>
          <w:b/>
          <w:sz w:val="32"/>
          <w:szCs w:val="32"/>
        </w:rPr>
      </w:pPr>
      <w:r>
        <w:rPr>
          <w:rFonts w:ascii="黑体" w:eastAsia="黑体" w:cs="黑体" w:hint="eastAsia"/>
          <w:b/>
          <w:sz w:val="32"/>
          <w:szCs w:val="32"/>
        </w:rPr>
        <w:t>第七条   相关规定</w:t>
      </w:r>
    </w:p>
    <w:p>
      <w:pPr>
        <w:pStyle w:val="29"/>
        <w:keepNext w:val="0"/>
        <w:keepLines w:val="0"/>
        <w:widowControl/>
        <w:spacing w:line="560" w:lineRule="exact"/>
        <w:rPr>
          <w:rFonts w:ascii="仿宋" w:eastAsia="仿宋"/>
          <w:b w:val="0"/>
          <w:bCs/>
          <w:color w:val="auto"/>
          <w:sz w:val="32"/>
          <w:szCs w:val="32"/>
        </w:rPr>
      </w:pPr>
      <w:r>
        <w:rPr>
          <w:rFonts w:ascii="仿宋" w:eastAsia="仿宋" w:hint="eastAsia"/>
          <w:b w:val="0"/>
          <w:bCs/>
          <w:color w:val="auto"/>
          <w:sz w:val="32"/>
          <w:szCs w:val="32"/>
        </w:rPr>
        <w:t>1、房屋证照需在产权登记管理部门查档确认后，方认定为合法有效。</w:t>
      </w:r>
    </w:p>
    <w:p>
      <w:pPr>
        <w:spacing w:line="560" w:lineRule="exact"/>
        <w:ind w:firstLineChars="200" w:firstLine="640"/>
        <w:rPr>
          <w:rFonts w:ascii="仿宋" w:eastAsia="仿宋" w:cs="仿宋"/>
          <w:bCs/>
          <w:sz w:val="32"/>
          <w:szCs w:val="32"/>
        </w:rPr>
      </w:pPr>
      <w:r>
        <w:rPr>
          <w:rFonts w:ascii="仿宋" w:eastAsia="仿宋" w:cs="仿宋" w:hint="eastAsia"/>
          <w:bCs/>
          <w:sz w:val="32"/>
          <w:szCs w:val="32"/>
        </w:rPr>
        <w:t>2、房屋实际面积小于证载面积的，按实际面积补偿；房屋实际面积大于证载面积的，超出部分按无证照房屋补偿（认定为翻建扩建的除外）。</w:t>
      </w:r>
    </w:p>
    <w:p>
      <w:pPr>
        <w:pStyle w:val="29"/>
        <w:keepNext w:val="0"/>
        <w:keepLines w:val="0"/>
        <w:widowControl/>
        <w:spacing w:line="560" w:lineRule="exact"/>
        <w:rPr>
          <w:rFonts w:ascii="仿宋" w:eastAsia="仿宋"/>
          <w:b w:val="0"/>
          <w:bCs/>
          <w:color w:val="auto"/>
          <w:sz w:val="32"/>
          <w:szCs w:val="32"/>
        </w:rPr>
      </w:pPr>
      <w:r>
        <w:rPr>
          <w:rFonts w:ascii="仿宋" w:eastAsia="仿宋" w:hint="eastAsia"/>
          <w:b w:val="0"/>
          <w:bCs/>
          <w:color w:val="auto"/>
          <w:sz w:val="32"/>
          <w:szCs w:val="32"/>
        </w:rPr>
        <w:t>3、征收租赁房屋，只对被征收人补偿，不对房屋承租人补偿。</w:t>
      </w:r>
    </w:p>
    <w:p>
      <w:pPr>
        <w:pStyle w:val="29"/>
        <w:keepNext w:val="0"/>
        <w:keepLines w:val="0"/>
        <w:widowControl/>
        <w:spacing w:line="560" w:lineRule="exact"/>
        <w:rPr>
          <w:rFonts w:ascii="仿宋" w:eastAsia="仿宋"/>
          <w:b w:val="0"/>
          <w:bCs/>
          <w:color w:val="auto"/>
          <w:sz w:val="32"/>
          <w:szCs w:val="32"/>
        </w:rPr>
      </w:pPr>
      <w:r>
        <w:rPr>
          <w:rFonts w:ascii="仿宋" w:eastAsia="仿宋" w:hint="eastAsia"/>
          <w:b w:val="0"/>
          <w:bCs/>
          <w:color w:val="auto"/>
          <w:sz w:val="32"/>
          <w:szCs w:val="32"/>
        </w:rPr>
        <w:t>4、因赠与或房屋所有权人死亡等原因，房屋证照未更名的，由房屋相关权利人提供证明材料后确定被征收人。</w:t>
      </w:r>
    </w:p>
    <w:p>
      <w:pPr>
        <w:pStyle w:val="29"/>
        <w:keepNext w:val="0"/>
        <w:keepLines w:val="0"/>
        <w:widowControl/>
        <w:spacing w:line="560" w:lineRule="exact"/>
        <w:rPr>
          <w:rFonts w:ascii="黑体" w:eastAsia="黑体" w:cs="黑体"/>
          <w:color w:val="auto"/>
          <w:sz w:val="32"/>
          <w:szCs w:val="32"/>
        </w:rPr>
      </w:pPr>
      <w:r>
        <w:rPr>
          <w:rFonts w:ascii="仿宋" w:eastAsia="仿宋" w:hint="eastAsia"/>
          <w:b w:val="0"/>
          <w:bCs/>
          <w:color w:val="auto"/>
          <w:sz w:val="32"/>
          <w:szCs w:val="32"/>
        </w:rPr>
        <w:t>5、有证照住宅房屋或唯一居住房屋认定面积低于49</w:t>
      </w:r>
      <w:r>
        <w:rPr>
          <w:rFonts w:ascii="仿宋" w:eastAsia="仿宋" w:hint="eastAsia"/>
          <w:b w:val="0"/>
          <w:color w:val="auto"/>
          <w:sz w:val="32"/>
          <w:szCs w:val="32"/>
        </w:rPr>
        <w:t>㎡</w:t>
      </w:r>
      <w:r>
        <w:rPr>
          <w:rFonts w:ascii="仿宋" w:eastAsia="仿宋" w:hint="eastAsia"/>
          <w:b w:val="0"/>
          <w:bCs/>
          <w:color w:val="auto"/>
          <w:sz w:val="32"/>
          <w:szCs w:val="32"/>
        </w:rPr>
        <w:t>的，按49</w:t>
      </w:r>
      <w:r>
        <w:rPr>
          <w:rFonts w:ascii="仿宋" w:eastAsia="仿宋" w:hint="eastAsia"/>
          <w:b w:val="0"/>
          <w:color w:val="auto"/>
          <w:sz w:val="32"/>
          <w:szCs w:val="32"/>
        </w:rPr>
        <w:t>㎡</w:t>
      </w:r>
      <w:r>
        <w:rPr>
          <w:rFonts w:ascii="仿宋" w:eastAsia="仿宋" w:hint="eastAsia"/>
          <w:b w:val="0"/>
          <w:bCs/>
          <w:color w:val="auto"/>
          <w:sz w:val="32"/>
          <w:szCs w:val="32"/>
        </w:rPr>
        <w:t>补偿，不结算差价。</w:t>
      </w:r>
    </w:p>
    <w:p>
      <w:pPr>
        <w:pStyle w:val="29"/>
        <w:keepNext w:val="0"/>
        <w:keepLines w:val="0"/>
        <w:widowControl/>
        <w:spacing w:line="560" w:lineRule="exact"/>
        <w:rPr>
          <w:rFonts w:ascii="仿宋" w:eastAsia="仿宋"/>
          <w:b w:val="0"/>
          <w:color w:val="auto"/>
          <w:sz w:val="32"/>
          <w:szCs w:val="32"/>
        </w:rPr>
      </w:pPr>
      <w:r>
        <w:rPr>
          <w:rFonts w:ascii="仿宋" w:eastAsia="仿宋" w:hint="eastAsia"/>
          <w:b w:val="0"/>
          <w:bCs/>
          <w:color w:val="auto"/>
          <w:sz w:val="32"/>
          <w:szCs w:val="32"/>
        </w:rPr>
        <w:t>6、房屋等附着物的物量以2016年8月开展的地上物调查登记的物量为补偿依据。</w:t>
      </w:r>
      <w:r>
        <w:rPr>
          <w:rFonts w:ascii="仿宋" w:eastAsia="仿宋" w:hint="eastAsia"/>
          <w:b w:val="0"/>
          <w:color w:val="auto"/>
          <w:sz w:val="32"/>
          <w:szCs w:val="32"/>
        </w:rPr>
        <w:t>对未登记宅基地的地上物，由被征收人提出申请并出具承诺书,结合地上物</w:t>
      </w:r>
      <w:bookmarkStart w:id="0" w:name="_GoBack"/>
      <w:bookmarkEnd w:id="0"/>
      <w:r>
        <w:rPr>
          <w:rFonts w:ascii="仿宋" w:eastAsia="仿宋" w:hint="eastAsia"/>
          <w:b w:val="0"/>
          <w:color w:val="auto"/>
          <w:sz w:val="32"/>
          <w:szCs w:val="32"/>
        </w:rPr>
        <w:t>调查时点之后最为接近的影像资料，由测绘公司确定物量,并在征收区域内公示7日无异议的，对未登记宅基地的地上物予以补偿。</w:t>
      </w:r>
    </w:p>
    <w:p>
      <w:pPr>
        <w:pStyle w:val="29"/>
        <w:keepNext w:val="0"/>
        <w:keepLines w:val="0"/>
        <w:widowControl/>
        <w:spacing w:line="560" w:lineRule="exact"/>
        <w:rPr>
          <w:rFonts w:ascii="仿宋" w:eastAsia="仿宋"/>
          <w:b w:val="0"/>
          <w:bCs/>
          <w:color w:val="auto"/>
          <w:sz w:val="32"/>
          <w:szCs w:val="32"/>
        </w:rPr>
      </w:pPr>
      <w:r>
        <w:rPr>
          <w:rFonts w:ascii="仿宋" w:eastAsia="仿宋" w:hint="eastAsia"/>
          <w:b w:val="0"/>
          <w:bCs/>
          <w:color w:val="auto"/>
          <w:sz w:val="32"/>
          <w:szCs w:val="32"/>
        </w:rPr>
        <w:t>7、已在长春北湖科技开发区其</w:t>
      </w:r>
      <w:r>
        <w:rPr>
          <w:rFonts w:ascii="仿宋" w:eastAsia="文泉驿正黑" w:hAnsi="仿宋"/>
          <w:b w:val="0"/>
          <w:bCs/>
          <w:color w:val="auto"/>
          <w:sz w:val="32"/>
          <w:szCs w:val="32"/>
        </w:rPr>
        <w:t>他</w:t>
      </w:r>
      <w:r>
        <w:rPr>
          <w:rFonts w:ascii="仿宋" w:eastAsia="仿宋" w:hint="eastAsia"/>
          <w:b w:val="0"/>
          <w:bCs/>
          <w:color w:val="auto"/>
          <w:sz w:val="32"/>
          <w:szCs w:val="32"/>
        </w:rPr>
        <w:t>征收区域内享受过征收补偿安置政策的本村户籍人员，不可享受本方案中的安置政策。</w:t>
      </w:r>
    </w:p>
    <w:p>
      <w:pPr>
        <w:pStyle w:val="29"/>
        <w:keepNext w:val="0"/>
        <w:keepLines w:val="0"/>
        <w:widowControl/>
        <w:spacing w:line="560" w:lineRule="exact"/>
        <w:rPr>
          <w:rFonts w:ascii="仿宋" w:eastAsia="仿宋"/>
          <w:b w:val="0"/>
          <w:bCs/>
          <w:color w:val="auto"/>
          <w:sz w:val="32"/>
          <w:szCs w:val="32"/>
        </w:rPr>
      </w:pPr>
      <w:r>
        <w:rPr>
          <w:rFonts w:ascii="仿宋" w:eastAsia="仿宋" w:hint="eastAsia"/>
          <w:b w:val="0"/>
          <w:bCs/>
          <w:color w:val="auto"/>
          <w:sz w:val="32"/>
          <w:szCs w:val="32"/>
        </w:rPr>
        <w:t>8、用于居住的作业间的被征收人，有本村户口、本村承包合同且仅此一处住房的，由本人提出申请, 在房屋产权管理部门开具无房证明（已婚的，开具夫妻双方无房证明），在征收区域内公示7日无异议的，作业间按36㎡补偿安置，就近上靠49㎡标准户型，按本方案公布之日前建设主管部门最新公布的住宅建筑安装工程造价交纳13㎡面积差额款。给予3万元采暖补助，不享受其他奖励政策。</w:t>
      </w:r>
    </w:p>
    <w:p>
      <w:pPr>
        <w:spacing w:line="560" w:lineRule="exact"/>
        <w:ind w:firstLineChars="200" w:firstLine="640"/>
        <w:rPr>
          <w:rFonts w:ascii="仿宋" w:eastAsia="仿宋" w:cs="仿宋"/>
          <w:bCs/>
          <w:sz w:val="32"/>
          <w:szCs w:val="32"/>
        </w:rPr>
      </w:pPr>
      <w:r>
        <w:rPr>
          <w:rFonts w:ascii="仿宋" w:eastAsia="仿宋" w:cs="仿宋" w:hint="eastAsia"/>
          <w:bCs/>
          <w:sz w:val="32"/>
          <w:szCs w:val="32"/>
        </w:rPr>
        <w:t>9、因生产生活需要,宅基地范围内未登记的地面、围墙、厕所、水井、大门、圈、舍及种植的苗木,按照现状由评估公司评估后给予补偿。</w:t>
      </w:r>
    </w:p>
    <w:p>
      <w:pPr>
        <w:pStyle w:val="29"/>
        <w:keepNext w:val="0"/>
        <w:keepLines w:val="0"/>
        <w:widowControl/>
        <w:spacing w:line="560" w:lineRule="exact"/>
        <w:rPr>
          <w:rFonts w:ascii="仿宋" w:eastAsia="仿宋"/>
          <w:b w:val="0"/>
          <w:bCs/>
          <w:color w:val="auto"/>
          <w:sz w:val="32"/>
          <w:szCs w:val="32"/>
        </w:rPr>
      </w:pPr>
      <w:r>
        <w:rPr>
          <w:rFonts w:ascii="仿宋" w:eastAsia="仿宋" w:hint="eastAsia"/>
          <w:b w:val="0"/>
          <w:bCs/>
          <w:color w:val="auto"/>
          <w:sz w:val="32"/>
          <w:szCs w:val="32"/>
        </w:rPr>
        <w:t>10、地上附着物实际测绘面积大于土地承包合同记载的承包土地面积的，超出面积需由村委会出具证明后给予补偿。</w:t>
      </w:r>
    </w:p>
    <w:p>
      <w:pPr>
        <w:spacing w:line="560" w:lineRule="exact"/>
        <w:ind w:firstLineChars="200" w:firstLine="640"/>
        <w:rPr>
          <w:rFonts w:ascii="仿宋" w:eastAsia="仿宋" w:cs="仿宋"/>
          <w:bCs/>
          <w:sz w:val="32"/>
          <w:szCs w:val="32"/>
        </w:rPr>
      </w:pPr>
      <w:r>
        <w:rPr>
          <w:rFonts w:ascii="黑体" w:eastAsia="黑体" w:cs="黑体" w:hint="eastAsia"/>
          <w:b/>
          <w:sz w:val="32"/>
          <w:szCs w:val="32"/>
        </w:rPr>
        <w:t xml:space="preserve">第八条  </w:t>
      </w:r>
      <w:r>
        <w:rPr>
          <w:rFonts w:ascii="仿宋" w:eastAsia="仿宋" w:cs="仿宋" w:hint="eastAsia"/>
          <w:bCs/>
          <w:sz w:val="32"/>
          <w:szCs w:val="32"/>
        </w:rPr>
        <w:t>违反土地管理法规定，阻挠征收土地的，以及所有权人已经依法得到补偿或无正当理由拒绝接受补偿，且拒不交出土地和房屋等附着物的，由长春北湖科技开发区管理委员会书面责令所有权人交出土地和房屋等附着物；在责令交出土地和房屋等附着物搬迁期限内仍不搬迁的，申请人民法院强制执行。</w:t>
      </w:r>
    </w:p>
    <w:p>
      <w:pPr>
        <w:spacing w:line="560" w:lineRule="exact"/>
        <w:ind w:firstLineChars="200" w:firstLine="640"/>
        <w:rPr>
          <w:rFonts w:ascii="仿宋" w:eastAsia="仿宋" w:cs="仿宋"/>
          <w:bCs/>
          <w:sz w:val="32"/>
          <w:szCs w:val="32"/>
        </w:rPr>
      </w:pPr>
      <w:r>
        <w:rPr>
          <w:rFonts w:ascii="黑体" w:eastAsia="黑体" w:cs="黑体" w:hint="eastAsia"/>
          <w:b/>
          <w:sz w:val="32"/>
          <w:szCs w:val="32"/>
        </w:rPr>
        <w:t>第九条</w:t>
      </w:r>
      <w:r>
        <w:rPr>
          <w:rFonts w:ascii="仿宋" w:eastAsia="仿宋" w:cs="仿宋" w:hint="eastAsia"/>
          <w:bCs/>
          <w:sz w:val="32"/>
          <w:szCs w:val="32"/>
        </w:rPr>
        <w:t xml:space="preserve">  对依照本方案进行补偿安置有争议的，由长春北湖科技开发区管理委员会协调；协调不成的，由</w:t>
      </w:r>
      <w:r>
        <w:rPr>
          <w:rFonts w:ascii="仿宋" w:eastAsia="仿宋" w:hint="eastAsia"/>
          <w:w w:val="96"/>
          <w:sz w:val="32"/>
          <w:szCs w:val="32"/>
        </w:rPr>
        <w:t>批准征收土地的</w:t>
      </w:r>
      <w:r>
        <w:rPr>
          <w:rFonts w:ascii="仿宋" w:eastAsia="仿宋" w:cs="仿宋" w:hint="eastAsia"/>
          <w:bCs/>
          <w:sz w:val="32"/>
          <w:szCs w:val="32"/>
        </w:rPr>
        <w:t>人民政府裁决。</w:t>
      </w:r>
      <w:r>
        <w:rPr>
          <w:rFonts w:ascii="仿宋" w:eastAsia="仿宋" w:hint="eastAsia"/>
          <w:w w:val="96"/>
          <w:sz w:val="32"/>
          <w:szCs w:val="32"/>
        </w:rPr>
        <w:t>征地补偿安置争议不影响征收土地方案的实施。</w:t>
      </w:r>
    </w:p>
    <w:p>
      <w:pPr>
        <w:spacing w:line="560" w:lineRule="exact"/>
        <w:ind w:firstLineChars="200" w:firstLine="640"/>
        <w:rPr>
          <w:rFonts w:ascii="仿宋" w:eastAsia="仿宋" w:cs="仿宋"/>
          <w:bCs/>
          <w:sz w:val="32"/>
          <w:szCs w:val="32"/>
        </w:rPr>
      </w:pPr>
      <w:r>
        <w:rPr>
          <w:rFonts w:ascii="仿宋" w:eastAsia="仿宋" w:cs="仿宋" w:hint="eastAsia"/>
          <w:bCs/>
          <w:sz w:val="32"/>
          <w:szCs w:val="32"/>
        </w:rPr>
        <w:t>本方案解释权归长春北湖科技开发区管理委员会。</w:t>
      </w:r>
    </w:p>
    <w:p>
      <w:pPr>
        <w:spacing w:line="540" w:lineRule="exact"/>
        <w:ind w:firstLineChars="200" w:firstLine="640"/>
        <w:outlineLvl w:val="0"/>
        <w:rPr>
          <w:rFonts w:ascii="CESI仿宋-GB13000" w:eastAsia="CESI仿宋-GB13000" w:cs="方正小标宋_GBK"/>
          <w:bCs/>
          <w:sz w:val="32"/>
          <w:szCs w:val="32"/>
        </w:rPr>
      </w:pPr>
    </w:p>
    <w:p>
      <w:pPr>
        <w:spacing w:line="540" w:lineRule="exact"/>
        <w:ind w:firstLineChars="200" w:firstLine="640"/>
        <w:outlineLvl w:val="0"/>
        <w:rPr>
          <w:rFonts w:ascii="CESI仿宋-GB13000" w:eastAsia="CESI仿宋-GB13000" w:cs="方正小标宋_GBK"/>
          <w:bCs/>
          <w:sz w:val="32"/>
          <w:szCs w:val="32"/>
        </w:rPr>
      </w:pPr>
    </w:p>
    <w:p>
      <w:pPr>
        <w:spacing w:line="540" w:lineRule="exact"/>
        <w:ind w:firstLineChars="200" w:firstLine="640"/>
        <w:outlineLvl w:val="0"/>
        <w:rPr>
          <w:rFonts w:ascii="仿宋" w:eastAsia="仿宋" w:cs="方正小标宋_GBK" w:hint="eastAsia"/>
          <w:bCs/>
          <w:w w:val="96"/>
          <w:sz w:val="32"/>
          <w:szCs w:val="32"/>
        </w:rPr>
      </w:pPr>
      <w:r>
        <w:rPr>
          <w:rFonts w:ascii="CESI仿宋-GB13000" w:eastAsia="CESI仿宋-GB13000" w:cs="方正小标宋_GBK" w:hint="eastAsia"/>
          <w:bCs/>
          <w:sz w:val="32"/>
          <w:szCs w:val="32"/>
        </w:rPr>
        <w:t xml:space="preserve">                   </w:t>
      </w:r>
      <w:r>
        <w:rPr>
          <w:rFonts w:ascii="仿宋" w:eastAsia="仿宋" w:cs="方正小标宋_GBK" w:hint="eastAsia"/>
          <w:bCs/>
          <w:w w:val="96"/>
          <w:sz w:val="32"/>
          <w:szCs w:val="32"/>
        </w:rPr>
        <w:t xml:space="preserve"> 长春北湖科技开发区管理委员会</w:t>
      </w:r>
    </w:p>
    <w:p>
      <w:pPr>
        <w:spacing w:line="540" w:lineRule="exact"/>
        <w:ind w:firstLineChars="200" w:firstLine="614"/>
        <w:outlineLvl w:val="0"/>
        <w:rPr>
          <w:rFonts w:ascii="仿宋" w:eastAsia="仿宋" w:cs="方正小标宋_GBK" w:hint="eastAsia"/>
          <w:bCs/>
          <w:w w:val="96"/>
          <w:sz w:val="32"/>
          <w:szCs w:val="32"/>
        </w:rPr>
      </w:pPr>
      <w:r>
        <w:rPr>
          <w:rFonts w:ascii="仿宋" w:eastAsia="仿宋" w:cs="方正小标宋_GBK" w:hint="eastAsia"/>
          <w:bCs/>
          <w:w w:val="96"/>
          <w:sz w:val="32"/>
          <w:szCs w:val="32"/>
        </w:rPr>
        <w:t xml:space="preserve">                           2024年</w:t>
      </w:r>
      <w:r>
        <w:rPr>
          <w:rFonts w:ascii="文泉驿正黑" w:eastAsia="仿宋" w:cs="方正小标宋_GBK" w:hAnsi="文泉驿正黑"/>
          <w:bCs/>
          <w:w w:val="96"/>
          <w:sz w:val="32"/>
          <w:szCs w:val="32"/>
        </w:rPr>
        <w:t>8</w:t>
      </w:r>
      <w:r>
        <w:rPr>
          <w:rFonts w:ascii="仿宋" w:eastAsia="仿宋" w:cs="方正小标宋_GBK" w:hint="eastAsia"/>
          <w:bCs/>
          <w:w w:val="96"/>
          <w:sz w:val="32"/>
          <w:szCs w:val="32"/>
        </w:rPr>
        <w:t>月</w:t>
      </w:r>
      <w:r>
        <w:rPr>
          <w:rFonts w:ascii="文泉驿正黑" w:eastAsia="仿宋" w:cs="方正小标宋_GBK" w:hAnsi="文泉驿正黑"/>
          <w:bCs/>
          <w:w w:val="96"/>
          <w:sz w:val="32"/>
          <w:szCs w:val="32"/>
        </w:rPr>
        <w:t>5</w:t>
      </w:r>
      <w:r>
        <w:rPr>
          <w:rFonts w:ascii="仿宋" w:eastAsia="仿宋" w:cs="方正小标宋_GBK" w:hint="eastAsia"/>
          <w:bCs/>
          <w:w w:val="96"/>
          <w:sz w:val="32"/>
          <w:szCs w:val="32"/>
        </w:rPr>
        <w:t>日</w:t>
      </w:r>
    </w:p>
    <w:sectPr>
      <w:footerReference w:type="default" r:id="rId2"/>
      <w:footerReference w:type="even" r:id="rId3"/>
      <w:pgSz w:w="11907" w:h="16840"/>
      <w:pgMar w:top="1567" w:right="1616" w:bottom="28" w:left="1616"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2010600030101010101"/>
    <w:charset w:val="86"/>
    <w:family w:val="auto"/>
    <w:pitch w:val="variable"/>
    <w:sig w:usb0="00000203" w:usb1="288F0000" w:usb2="00000006" w:usb3="00000000" w:csb0="00040001" w:csb1="00000000"/>
  </w:font>
  <w:font w:name="仿宋">
    <w:altName w:val="永中仿宋"/>
    <w:panose1 w:val="02010609060101010101"/>
    <w:charset w:val="86"/>
    <w:family w:val="modern"/>
    <w:pitch w:val="variable"/>
    <w:sig w:usb0="800002BF" w:usb1="38CF7CFA" w:usb2="00000016"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 w:name="文泉驿正黑">
    <w:altName w:val="微软雅黑"/>
    <w:panose1 w:val="00000000000000000000"/>
    <w:charset w:val="00"/>
    <w:family w:val="script"/>
    <w:pitch w:val="variable"/>
    <w:sig w:usb0="00000000" w:usb1="00000000" w:usb2="00000036" w:usb3="00000000" w:csb0="603E000D" w:csb1="D2D70000"/>
  </w:font>
  <w:font w:name="楷体">
    <w:altName w:val="永中楷体"/>
    <w:panose1 w:val="02010609060101010101"/>
    <w:charset w:val="86"/>
    <w:family w:val="modern"/>
    <w:pitch w:val="variable"/>
    <w:sig w:usb0="800002BF" w:usb1="38CF7CFA" w:usb2="00000016" w:usb3="00000000" w:csb0="00040001" w:csb1="00000000"/>
  </w:font>
  <w:font w:name="CESI仿宋-GB13000">
    <w:altName w:val="微软雅黑"/>
    <w:panose1 w:val="00000000000000000000"/>
    <w:charset w:val="86"/>
    <w:family w:val="script"/>
    <w:pitch w:val="variable"/>
    <w:sig w:usb0="00000000" w:usb1="00000000" w:usb2="00000016" w:usb3="00000000" w:csb0="0004000F" w:csb1="00000000"/>
  </w:font>
  <w:font w:name="方正小标宋_GBK">
    <w:altName w:val="微软雅黑"/>
    <w:panose1 w:val="00000000000000000000"/>
    <w:charset w:val="86"/>
    <w:family w:val="script"/>
    <w:pitch w:val="variable"/>
    <w:sig w:usb0="00000000" w:usb1="00000000" w:usb2="00082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Arial">
    <w:altName w:val="DejaVu Sans"/>
    <w:panose1 w:val="020B0604020202020204"/>
    <w:charset w:val="01"/>
    <w:family w:val="swiss"/>
    <w:pitch w:val="variable"/>
    <w:sig w:usb0="E0002EFF" w:usb1="C000785B" w:usb2="00000009" w:usb3="00000000" w:csb0="400001FF" w:csb1="FFFF0000"/>
  </w:font>
  <w:font w:name="微软雅黑">
    <w:altName w:val="文泉驿正黑"/>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center" w:y="1" w:anchorLock="0"/>
      <w:tabs>
        <w:tab w:val="center" w:pos="4153"/>
        <w:tab w:val="right" w:pos="8306"/>
      </w:tabs>
      <w:rPr>
        <w:rStyle w:val="24"/>
      </w:rPr>
    </w:pPr>
    <w:r>
      <w:rPr>
        <w:rStyle w:val="24"/>
      </w:rPr>
      <w:fldChar w:fldCharType="begin"/>
    </w:r>
    <w:r>
      <w:rPr>
        <w:rStyle w:val="24"/>
      </w:rPr>
      <w:instrText xml:space="preserve">PAGE  </w:instrText>
    </w:r>
    <w:r>
      <w:fldChar w:fldCharType="separate"/>
    </w:r>
    <w:r>
      <w:rPr>
        <w:rStyle w:val="24"/>
      </w:rPr>
      <w:t>3</w:t>
    </w:r>
    <w:r>
      <w:fldChar w:fldCharType="end"/>
    </w:r>
  </w:p>
  <w:p>
    <w:pPr>
      <w:pStyle w:val="19"/>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center" w:y="1" w:anchorLock="0"/>
      <w:tabs>
        <w:tab w:val="center" w:pos="4153"/>
        <w:tab w:val="right" w:pos="8306"/>
      </w:tabs>
      <w:rPr>
        <w:rStyle w:val="24"/>
      </w:rPr>
    </w:pPr>
    <w:r>
      <w:rPr>
        <w:rStyle w:val="24"/>
      </w:rPr>
      <w:fldChar w:fldCharType="begin"/>
    </w:r>
    <w:r>
      <w:rPr>
        <w:rStyle w:val="24"/>
      </w:rPr>
      <w:instrText xml:space="preserve">PAGE  </w:instrText>
    </w:r>
    <w:r>
      <w:fldChar w:fldCharType="separate"/>
    </w:r>
    <w:r>
      <w:rPr>
        <w:vanish/>
      </w:rPr>
      <w:t xml:space="preserve"> </w:t>
    </w:r>
    <w:r>
      <w:fldChar w:fldCharType="end"/>
    </w:r>
  </w:p>
  <w:p>
    <w:pPr>
      <w:pStyle w:val="19"/>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CE551E81"/>
    <w:multiLevelType w:val="singleLevel"/>
    <w:tmpl w:val="CE551E81"/>
    <w:lvl w:ilvl="0">
      <w:start w:val="1"/>
      <w:numFmt w:val="decimal"/>
      <w:lvlRestart w:val="0"/>
      <w:suff w:val="nothing"/>
      <w:lvlText w:val="（%1）"/>
      <w:lvlJc w:val="left"/>
      <w:pPr>
        <w:ind w:left="0" w:hanging="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6"/>
  <w:doNotDisplayPageBoundaries/>
  <w:bordersDoNotSurroundHeader/>
  <w:bordersDoNotSurroundFooter/>
  <w:trackRevisions/>
  <w:documentProtection w:edit="readOnly" w:enforcement="0"/>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commondata" w:val="eyJoZGlkIjoiY2NhYjFjZjgxZjU1YmRlYmQxZDA4MTQ3M2YwMmVmYjY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Arial" w:eastAsia="黑体" w:hAnsi="Arial"/>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paragraph" w:styleId="4">
    <w:name w:val="heading 4"/>
    <w:basedOn w:val="0"/>
    <w:next w:val="0"/>
    <w:pPr>
      <w:keepNext/>
      <w:keepLines/>
      <w:widowControl w:val="0"/>
      <w:spacing w:before="280" w:after="290" w:line="377" w:lineRule="auto"/>
      <w:outlineLvl w:val="3"/>
    </w:pPr>
    <w:rPr>
      <w:rFonts w:ascii="Arial" w:eastAsia="黑体" w:hAnsi="Arial"/>
      <w:b/>
      <w:bCs/>
      <w:sz w:val="28"/>
      <w:szCs w:val="28"/>
    </w:rPr>
  </w:style>
  <w:style w:type="paragraph" w:styleId="5">
    <w:name w:val="heading 5"/>
    <w:basedOn w:val="0"/>
    <w:next w:val="0"/>
    <w:pPr>
      <w:keepNext/>
      <w:keepLines/>
      <w:widowControl w:val="0"/>
      <w:spacing w:before="280" w:after="290" w:line="377" w:lineRule="auto"/>
      <w:outlineLvl w:val="4"/>
    </w:pPr>
    <w:rPr>
      <w:b/>
      <w:bCs/>
      <w:sz w:val="28"/>
      <w:szCs w:val="28"/>
    </w:rPr>
  </w:style>
  <w:style w:type="character" w:default="1" w:styleId="10">
    <w:name w:val="Default Paragraph Font"/>
  </w:style>
  <w:style w:type="paragraph" w:styleId="15">
    <w:name w:val="Document Map"/>
    <w:basedOn w:val="0"/>
    <w:pPr>
      <w:shd w:val="clear" w:color="auto" w:fill="000080"/>
    </w:pPr>
  </w:style>
  <w:style w:type="paragraph" w:styleId="16">
    <w:name w:val="annotation text"/>
    <w:basedOn w:val="0"/>
    <w:pPr>
      <w:jc w:val="left"/>
    </w:pPr>
  </w:style>
  <w:style w:type="paragraph" w:styleId="17">
    <w:name w:val="Body Text"/>
    <w:basedOn w:val="0"/>
    <w:pPr>
      <w:spacing w:after="120"/>
    </w:pPr>
  </w:style>
  <w:style w:type="paragraph" w:styleId="18">
    <w:name w:val="Balloon Text"/>
    <w:basedOn w:val="0"/>
    <w:rPr>
      <w:sz w:val="18"/>
      <w:szCs w:val="18"/>
    </w:rPr>
  </w:style>
  <w:style w:type="paragraph" w:styleId="19">
    <w:name w:val="footer"/>
    <w:basedOn w:val="0"/>
    <w:pPr>
      <w:tabs>
        <w:tab w:val="center" w:pos="4153"/>
        <w:tab w:val="right" w:pos="8306"/>
      </w:tabs>
      <w:snapToGrid w:val="0"/>
      <w:jc w:val="left"/>
    </w:pPr>
    <w:rPr>
      <w:sz w:val="18"/>
      <w:szCs w:val="18"/>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Normal (Web)"/>
    <w:basedOn w:val="0"/>
    <w:pPr>
      <w:widowControl/>
      <w:spacing w:before="100" w:beforeAutospacing="1" w:after="100" w:afterAutospacing="1"/>
      <w:jc w:val="left"/>
    </w:pPr>
    <w:rPr>
      <w:rFonts w:ascii="宋体" w:cs="宋体"/>
      <w:kern w:val="0"/>
      <w:sz w:val="24"/>
    </w:rPr>
  </w:style>
  <w:style w:type="paragraph" w:styleId="22">
    <w:name w:val="annotation subject"/>
    <w:basedOn w:val="16"/>
    <w:next w:val="16"/>
    <w:rPr>
      <w:b/>
      <w:bCs/>
    </w:rPr>
  </w:style>
  <w:style w:type="character" w:styleId="23">
    <w:name w:val="Strong"/>
    <w:rPr>
      <w:b/>
      <w:bCs/>
    </w:rPr>
  </w:style>
  <w:style w:type="character" w:styleId="24">
    <w:name w:val="page number"/>
  </w:style>
  <w:style w:type="character" w:styleId="25">
    <w:name w:val="annotation reference"/>
    <w:rPr>
      <w:sz w:val="21"/>
      <w:szCs w:val="21"/>
    </w:rPr>
  </w:style>
  <w:style w:type="paragraph" w:customStyle="1" w:styleId="26">
    <w:name w:val="one-p"/>
    <w:basedOn w:val="0"/>
    <w:pPr>
      <w:widowControl/>
      <w:spacing w:before="100" w:beforeAutospacing="1" w:after="100" w:afterAutospacing="1"/>
      <w:jc w:val="left"/>
    </w:pPr>
    <w:rPr>
      <w:rFonts w:ascii="宋体" w:cs="宋体"/>
      <w:kern w:val="0"/>
      <w:sz w:val="24"/>
    </w:rPr>
  </w:style>
  <w:style w:type="paragraph" w:customStyle="1" w:styleId="27">
    <w:name w:val="21bc9c4b-6a32-43e5-beaa-fd2d792c5735"/>
    <w:basedOn w:val="1"/>
    <w:next w:val="28"/>
    <w:pPr>
      <w:spacing w:before="0" w:after="0" w:line="288" w:lineRule="auto"/>
      <w:jc w:val="left"/>
    </w:pPr>
    <w:rPr>
      <w:rFonts w:ascii="微软雅黑" w:eastAsia="微软雅黑"/>
      <w:bCs w:val="0"/>
      <w:color w:val="000000"/>
      <w:sz w:val="32"/>
      <w:szCs w:val="30"/>
    </w:rPr>
  </w:style>
  <w:style w:type="paragraph" w:customStyle="1" w:styleId="28">
    <w:name w:val="acbfdd8b-e11b-4d36-88ff-6049b138f862"/>
    <w:basedOn w:val="17"/>
    <w:pPr>
      <w:spacing w:after="0"/>
      <w:jc w:val="left"/>
    </w:pPr>
    <w:rPr>
      <w:rFonts w:ascii="微软雅黑" w:eastAsia="微软雅黑"/>
      <w:bCs/>
      <w:color w:val="000000"/>
      <w:sz w:val="22"/>
      <w:szCs w:val="30"/>
    </w:rPr>
  </w:style>
  <w:style w:type="paragraph" w:customStyle="1" w:styleId="29">
    <w:name w:val="71e7dc79-1ff7-45e8-997d-0ebda3762b91"/>
    <w:basedOn w:val="2"/>
    <w:next w:val="28"/>
    <w:pPr>
      <w:keepNext/>
      <w:keepLines/>
      <w:widowControl/>
      <w:shd w:val="clear" w:color="auto" w:fill="FFFFFF"/>
      <w:adjustRightInd w:val="0"/>
      <w:snapToGrid w:val="0"/>
      <w:spacing w:before="0" w:after="0" w:line="288" w:lineRule="auto"/>
      <w:ind w:firstLineChars="200" w:firstLine="200"/>
      <w:jc w:val="left"/>
    </w:pPr>
    <w:rPr>
      <w:rFonts w:ascii="微软雅黑" w:eastAsia="微软雅黑" w:cs="仿宋"/>
      <w:bCs w:val="0"/>
      <w:color w:val="000000"/>
      <w:sz w:val="28"/>
      <w:szCs w:val="30"/>
    </w:rPr>
  </w:style>
  <w:style w:type="paragraph" w:customStyle="1" w:styleId="30">
    <w:name w:val="b63ee27f-4cf3-414c-9275-d88e3f90795e"/>
    <w:basedOn w:val="3"/>
    <w:next w:val="28"/>
    <w:pPr>
      <w:keepNext/>
      <w:keepLines/>
      <w:widowControl/>
      <w:shd w:val="clear" w:color="auto" w:fill="FFFFFF"/>
      <w:adjustRightInd w:val="0"/>
      <w:snapToGrid w:val="0"/>
      <w:spacing w:before="0" w:after="0" w:line="288" w:lineRule="auto"/>
      <w:ind w:firstLineChars="200" w:firstLine="200"/>
      <w:jc w:val="left"/>
    </w:pPr>
    <w:rPr>
      <w:rFonts w:ascii="微软雅黑" w:eastAsia="微软雅黑" w:cs="仿宋"/>
      <w:bCs w:val="0"/>
      <w:color w:val="000000"/>
      <w:sz w:val="26"/>
      <w:szCs w:val="30"/>
    </w:rPr>
  </w:style>
  <w:style w:type="paragraph" w:customStyle="1" w:styleId="31">
    <w:name w:val="修订1"/>
    <w:rPr>
      <w:rFonts w:ascii="Times New Roman" w:eastAsia="宋体" w:cs="Times New Roman" w:hAnsi="Times New Roman"/>
      <w:kern w:val="2"/>
      <w:sz w:val="21"/>
      <w:szCs w:val="24"/>
      <w:lang w:val="en-US" w:eastAsia="zh-CN" w:bidi="ar-SA"/>
    </w:rPr>
  </w:style>
  <w:style w:type="paragraph" w:customStyle="1" w:styleId="32">
    <w:name w:val="Revision"/>
    <w:rPr>
      <w:rFonts w:ascii="Times New Roman" w:eastAsia="宋体" w:cs="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20</TotalTime>
  <Application>Yozo_Office27021597764231179</Application>
  <Pages>9</Pages>
  <Words>4758</Words>
  <Characters>4861</Characters>
  <Lines>220</Lines>
  <Paragraphs>77</Paragraphs>
  <CharactersWithSpaces>4952</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title>关于青水社区征收补偿安置实施方案的初步框架设计</dc:title>
  <dc:creator>User</dc:creator>
  <cp:lastModifiedBy>c225</cp:lastModifiedBy>
  <cp:revision>217</cp:revision>
  <cp:lastPrinted>2024-08-01T08:36:45Z</cp:lastPrinted>
  <dcterms:created xsi:type="dcterms:W3CDTF">2024-07-22T09:08:00Z</dcterms:created>
  <dcterms:modified xsi:type="dcterms:W3CDTF">2024-08-02T08:10:41Z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2052-12.1.0.17147</vt:lpwstr>
  </property>
  <property fmtid="{D5CDD505-2E9C-101B-9397-08002B2CF9AE}" pid="3" name="ICV">
    <vt:lpwstr>72F07837C75A4EAFBB10F92D34EF1B92_13</vt:lpwstr>
  </property>
</Properties>
</file>