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公文小标宋" w:hAnsi="方正公文小标宋" w:eastAsia="方正公文小标宋" w:cs="方正公文小标宋"/>
          <w:sz w:val="44"/>
          <w:szCs w:val="44"/>
        </w:rPr>
      </w:pPr>
      <w:r>
        <w:rPr>
          <w:rFonts w:hint="eastAsia" w:ascii="方正公文小标宋" w:hAnsi="方正公文小标宋" w:eastAsia="方正公文小标宋" w:cs="方正公文小标宋"/>
          <w:sz w:val="44"/>
          <w:szCs w:val="44"/>
        </w:rPr>
        <w:t>202</w:t>
      </w:r>
      <w:r>
        <w:rPr>
          <w:rFonts w:hint="eastAsia" w:ascii="方正公文小标宋" w:hAnsi="方正公文小标宋" w:eastAsia="方正公文小标宋" w:cs="方正公文小标宋"/>
          <w:sz w:val="44"/>
          <w:szCs w:val="44"/>
          <w:lang w:val="en-US" w:eastAsia="zh-CN"/>
        </w:rPr>
        <w:t>3</w:t>
      </w:r>
      <w:r>
        <w:rPr>
          <w:rFonts w:hint="eastAsia" w:ascii="方正公文小标宋" w:hAnsi="方正公文小标宋" w:eastAsia="方正公文小标宋" w:cs="方正公文小标宋"/>
          <w:sz w:val="44"/>
          <w:szCs w:val="44"/>
        </w:rPr>
        <w:t>年度预算绩效管理工作总结</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长春新区</w:t>
      </w:r>
      <w:r>
        <w:rPr>
          <w:rFonts w:hint="eastAsia" w:ascii="方正仿宋_GBK" w:hAnsi="方正仿宋_GBK" w:eastAsia="方正仿宋_GBK" w:cs="方正仿宋_GBK"/>
          <w:sz w:val="32"/>
          <w:szCs w:val="32"/>
        </w:rPr>
        <w:t>预算绩效管理工作在上年基础上继续推进，将</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三全</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工作与</w:t>
      </w:r>
      <w:r>
        <w:rPr>
          <w:rFonts w:hint="eastAsia" w:ascii="方正仿宋_GBK" w:hAnsi="方正仿宋_GBK" w:eastAsia="方正仿宋_GBK" w:cs="方正仿宋_GBK"/>
          <w:sz w:val="32"/>
          <w:szCs w:val="32"/>
        </w:rPr>
        <w:t>预算工作进行交叉融合，收到了良好的效果。</w:t>
      </w:r>
    </w:p>
    <w:p>
      <w:pPr>
        <w:ind w:firstLine="640" w:firstLineChars="200"/>
        <w:rPr>
          <w:rFonts w:hint="eastAsia" w:ascii="方正公文黑体" w:hAnsi="方正公文黑体" w:eastAsia="方正公文黑体" w:cs="方正公文黑体"/>
          <w:sz w:val="32"/>
          <w:szCs w:val="32"/>
        </w:rPr>
      </w:pPr>
      <w:r>
        <w:rPr>
          <w:rFonts w:hint="eastAsia" w:ascii="方正公文黑体" w:hAnsi="方正公文黑体" w:eastAsia="方正公文黑体" w:cs="方正公文黑体"/>
          <w:sz w:val="32"/>
          <w:szCs w:val="32"/>
        </w:rPr>
        <w:t>一、绩效管理工作开展情况</w:t>
      </w:r>
    </w:p>
    <w:p>
      <w:p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目前，</w:t>
      </w:r>
      <w:r>
        <w:rPr>
          <w:rFonts w:hint="eastAsia" w:ascii="方正仿宋_GBK" w:hAnsi="方正仿宋_GBK" w:eastAsia="方正仿宋_GBK" w:cs="方正仿宋_GBK"/>
          <w:sz w:val="32"/>
          <w:szCs w:val="32"/>
          <w:lang w:val="en-US" w:eastAsia="zh-CN"/>
        </w:rPr>
        <w:t>长春新区</w:t>
      </w:r>
      <w:r>
        <w:rPr>
          <w:rFonts w:hint="eastAsia" w:ascii="方正仿宋_GBK" w:hAnsi="方正仿宋_GBK" w:eastAsia="方正仿宋_GBK" w:cs="方正仿宋_GBK"/>
          <w:sz w:val="32"/>
          <w:szCs w:val="32"/>
        </w:rPr>
        <w:t>已初步形成了一套预算绩效管理体系，做到了预算</w:t>
      </w:r>
      <w:r>
        <w:rPr>
          <w:rFonts w:hint="eastAsia" w:ascii="方正仿宋_GBK" w:hAnsi="方正仿宋_GBK" w:eastAsia="方正仿宋_GBK" w:cs="方正仿宋_GBK"/>
          <w:sz w:val="32"/>
          <w:szCs w:val="32"/>
          <w:lang w:val="en-US" w:eastAsia="zh-CN"/>
        </w:rPr>
        <w:t>绩效</w:t>
      </w:r>
      <w:r>
        <w:rPr>
          <w:rFonts w:hint="eastAsia" w:ascii="方正仿宋_GBK" w:hAnsi="方正仿宋_GBK" w:eastAsia="方正仿宋_GBK" w:cs="方正仿宋_GBK"/>
          <w:sz w:val="32"/>
          <w:szCs w:val="32"/>
        </w:rPr>
        <w:t>有目标、预算执行有监控、评价结果有应用。在202</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年部门预算编制中，我</w:t>
      </w:r>
      <w:r>
        <w:rPr>
          <w:rFonts w:hint="eastAsia" w:ascii="方正仿宋_GBK" w:hAnsi="方正仿宋_GBK" w:eastAsia="方正仿宋_GBK" w:cs="方正仿宋_GBK"/>
          <w:sz w:val="32"/>
          <w:szCs w:val="32"/>
          <w:lang w:val="en-US" w:eastAsia="zh-CN"/>
        </w:rPr>
        <w:t>局聘请了三方机构为新区各部门提交的预算绩效目标进行审核工作。</w:t>
      </w:r>
      <w:r>
        <w:rPr>
          <w:rFonts w:hint="eastAsia" w:ascii="方正仿宋_GBK" w:hAnsi="方正仿宋_GBK" w:eastAsia="方正仿宋_GBK" w:cs="方正仿宋_GBK"/>
          <w:sz w:val="32"/>
          <w:szCs w:val="32"/>
        </w:rPr>
        <w:t>使</w:t>
      </w:r>
      <w:r>
        <w:rPr>
          <w:rFonts w:hint="eastAsia" w:ascii="方正仿宋_GBK" w:hAnsi="方正仿宋_GBK" w:eastAsia="方正仿宋_GBK" w:cs="方正仿宋_GBK"/>
          <w:sz w:val="32"/>
          <w:szCs w:val="32"/>
          <w:lang w:val="en-US" w:eastAsia="zh-CN"/>
        </w:rPr>
        <w:t>预算绩效目标可量化、可考核、可应用。</w:t>
      </w:r>
    </w:p>
    <w:p>
      <w:pPr>
        <w:ind w:firstLine="640" w:firstLineChars="200"/>
        <w:rPr>
          <w:rFonts w:hint="default" w:ascii="方正仿宋_GB2312" w:hAnsi="方正仿宋_GB2312" w:eastAsia="方正仿宋_GB2312" w:cs="方正仿宋_GB2312"/>
          <w:sz w:val="32"/>
          <w:szCs w:val="32"/>
          <w:lang w:val="en-US" w:eastAsia="zh-CN"/>
        </w:rPr>
      </w:pPr>
      <w:r>
        <w:rPr>
          <w:rFonts w:hint="eastAsia" w:ascii="方正仿宋_GBK" w:hAnsi="方正仿宋_GBK" w:eastAsia="方正仿宋_GBK" w:cs="方正仿宋_GBK"/>
          <w:sz w:val="32"/>
          <w:szCs w:val="32"/>
        </w:rPr>
        <w:t>按照</w:t>
      </w:r>
      <w:r>
        <w:rPr>
          <w:rFonts w:ascii="仿宋" w:hAnsi="仿宋" w:eastAsia="仿宋"/>
          <w:sz w:val="32"/>
          <w:szCs w:val="32"/>
        </w:rPr>
        <w:t>《中共吉林省委 吉林省人民政府关于全面实施预算绩效管理的实施意见》（吉发</w:t>
      </w:r>
      <w:r>
        <w:rPr>
          <w:rFonts w:hint="eastAsia" w:ascii="仿宋" w:hAnsi="仿宋" w:eastAsia="仿宋"/>
          <w:sz w:val="32"/>
          <w:szCs w:val="32"/>
        </w:rPr>
        <w:t>【</w:t>
      </w:r>
      <w:r>
        <w:rPr>
          <w:rFonts w:ascii="仿宋" w:hAnsi="仿宋" w:eastAsia="仿宋"/>
          <w:sz w:val="32"/>
          <w:szCs w:val="32"/>
        </w:rPr>
        <w:t>2019</w:t>
      </w:r>
      <w:r>
        <w:rPr>
          <w:rFonts w:hint="eastAsia" w:ascii="仿宋" w:hAnsi="仿宋" w:eastAsia="仿宋"/>
          <w:sz w:val="32"/>
          <w:szCs w:val="32"/>
        </w:rPr>
        <w:t>】</w:t>
      </w:r>
      <w:r>
        <w:rPr>
          <w:rFonts w:ascii="仿宋" w:hAnsi="仿宋" w:eastAsia="仿宋"/>
          <w:sz w:val="32"/>
          <w:szCs w:val="32"/>
        </w:rPr>
        <w:t>10号）</w:t>
      </w:r>
      <w:r>
        <w:rPr>
          <w:rFonts w:hint="eastAsia" w:ascii="方正仿宋_GBK" w:hAnsi="方正仿宋_GBK" w:eastAsia="方正仿宋_GBK" w:cs="方正仿宋_GBK"/>
          <w:sz w:val="32"/>
          <w:szCs w:val="32"/>
        </w:rPr>
        <w:t>文件要求，</w:t>
      </w:r>
      <w:r>
        <w:rPr>
          <w:rFonts w:hint="eastAsia" w:ascii="方正仿宋_GBK" w:hAnsi="方正仿宋_GBK" w:eastAsia="方正仿宋_GBK" w:cs="方正仿宋_GBK"/>
          <w:sz w:val="32"/>
          <w:szCs w:val="32"/>
          <w:lang w:val="en-US" w:eastAsia="zh-CN"/>
        </w:rPr>
        <w:t>深度落实“</w:t>
      </w:r>
      <w:r>
        <w:rPr>
          <w:rFonts w:hint="eastAsia" w:ascii="方正仿宋_GB2312" w:hAnsi="方正仿宋_GB2312" w:eastAsia="方正仿宋_GB2312" w:cs="方正仿宋_GB2312"/>
          <w:sz w:val="32"/>
          <w:szCs w:val="32"/>
          <w:lang w:val="en-US" w:eastAsia="zh-CN"/>
        </w:rPr>
        <w:t>花钱必问效，无效必问责”。</w:t>
      </w:r>
      <w:r>
        <w:rPr>
          <w:rFonts w:hint="eastAsia" w:ascii="方正仿宋_GBK" w:hAnsi="方正仿宋_GBK" w:eastAsia="方正仿宋_GBK" w:cs="方正仿宋_GBK"/>
          <w:sz w:val="32"/>
          <w:szCs w:val="32"/>
          <w:lang w:val="en-US" w:eastAsia="zh-CN"/>
        </w:rPr>
        <w:t>新区落实预算绩效管理工作资金191万元，</w:t>
      </w:r>
      <w:r>
        <w:rPr>
          <w:rFonts w:hint="eastAsia" w:ascii="方正仿宋_GB2312" w:hAnsi="方正仿宋_GB2312" w:eastAsia="方正仿宋_GB2312" w:cs="方正仿宋_GB2312"/>
          <w:sz w:val="32"/>
          <w:szCs w:val="32"/>
          <w:lang w:val="en-US" w:eastAsia="zh-CN"/>
        </w:rPr>
        <w:t>2023年根据省市对绩效管理工作要求，开展了2022年预算项目资金、专项资金绩效评价项目33项，绩效评价金额达25,531万元。并将绩效评价结果应用到下年度预算编制中得以应用。</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为提高绩效管理工作水平，在开展全区全员绩效管理业务培训期间，新区财政局人员与北京国家会计学院沟通，积极鼓励各部门人员进行预算绩效评价师考评。财政局2名同志取得了绩效评价师执业能力证书。此项考评得到了局领导高度支持与认可。</w:t>
      </w:r>
    </w:p>
    <w:p>
      <w:pPr>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积极参加长春市财政局组织的各项培训，着力加强财政工作人员业务水平。</w:t>
      </w:r>
      <w:r>
        <w:rPr>
          <w:rFonts w:hint="eastAsia" w:ascii="方正仿宋_GB2312" w:hAnsi="方正仿宋_GB2312" w:eastAsia="方正仿宋_GB2312" w:cs="方正仿宋_GB2312"/>
          <w:sz w:val="32"/>
          <w:szCs w:val="32"/>
          <w:lang w:val="en-US" w:eastAsia="zh-CN"/>
        </w:rPr>
        <w:t>与上级部门时时保持步调一致，分别于上半年和下半年两次组织全区绩效管理人员200余人在新区管委会开展了长春新区财政局关于开展2023年度预算绩效管理专题培训，针</w:t>
      </w:r>
      <w:r>
        <w:rPr>
          <w:rFonts w:hint="eastAsia" w:ascii="华文仿宋" w:hAnsi="华文仿宋" w:eastAsia="华文仿宋" w:cs="华文仿宋"/>
          <w:i w:val="0"/>
          <w:caps w:val="0"/>
          <w:color w:val="333333"/>
          <w:spacing w:val="8"/>
          <w:sz w:val="32"/>
          <w:szCs w:val="32"/>
          <w:shd w:val="clear" w:fill="FFFFFF"/>
        </w:rPr>
        <w:t>对</w:t>
      </w:r>
      <w:r>
        <w:rPr>
          <w:rFonts w:hint="eastAsia" w:ascii="方正仿宋_GB2312" w:hAnsi="方正仿宋_GB2312" w:eastAsia="方正仿宋_GB2312" w:cs="方正仿宋_GB2312"/>
          <w:sz w:val="32"/>
          <w:szCs w:val="32"/>
          <w:lang w:val="en-US" w:eastAsia="zh-CN"/>
        </w:rPr>
        <w:t>预算绩效目标申报、项目支出绩效运行监控、项目支出绩效评价等工作进行实务培训，取得了较好的效果。</w:t>
      </w:r>
    </w:p>
    <w:p>
      <w:pPr>
        <w:ind w:firstLine="640" w:firstLineChars="200"/>
        <w:rPr>
          <w:rFonts w:hint="eastAsia" w:ascii="方正公文黑体" w:hAnsi="方正公文黑体" w:eastAsia="方正公文黑体" w:cs="方正公文黑体"/>
          <w:sz w:val="32"/>
          <w:szCs w:val="32"/>
        </w:rPr>
      </w:pPr>
      <w:r>
        <w:rPr>
          <w:rFonts w:hint="eastAsia" w:ascii="方正公文黑体" w:hAnsi="方正公文黑体" w:eastAsia="方正公文黑体" w:cs="方正公文黑体"/>
          <w:sz w:val="32"/>
          <w:szCs w:val="32"/>
        </w:rPr>
        <w:t>二、主要成效</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（一）绩效理念</w:t>
      </w:r>
      <w:r>
        <w:rPr>
          <w:rFonts w:hint="eastAsia" w:ascii="方正仿宋_GBK" w:hAnsi="方正仿宋_GBK" w:eastAsia="方正仿宋_GBK" w:cs="方正仿宋_GBK"/>
          <w:sz w:val="32"/>
          <w:szCs w:val="32"/>
          <w:lang w:val="en-US" w:eastAsia="zh-CN"/>
        </w:rPr>
        <w:t>逐步完善</w:t>
      </w:r>
      <w:r>
        <w:rPr>
          <w:rFonts w:hint="eastAsia" w:ascii="方正仿宋_GBK" w:hAnsi="方正仿宋_GBK" w:eastAsia="方正仿宋_GBK" w:cs="方正仿宋_GBK"/>
          <w:sz w:val="32"/>
          <w:szCs w:val="32"/>
        </w:rPr>
        <w:t>。随着预算绩效管理工作有序推进，各部门逐步树立了绩效管理的理念，过去一些部门花钱不讲效益的局面有所改进。</w:t>
      </w:r>
      <w:bookmarkStart w:id="0" w:name="_GoBack"/>
      <w:bookmarkEnd w:id="0"/>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支出结构得到优化。强化绩效评价结果运用，将评价结果作为次年预算编制的重要依据。对绩效优秀的项目，在资金安排上优先考虑；对绩效较差的项目，从严把握，以逐步规范财政资金投向，优化财政支出结构。</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（三）管理水平有效提高。202</w:t>
      </w:r>
      <w:r>
        <w:rPr>
          <w:rFonts w:hint="eastAsia" w:ascii="方正仿宋_GBK" w:hAnsi="方正仿宋_GBK" w:eastAsia="方正仿宋_GBK" w:cs="方正仿宋_GBK"/>
          <w:sz w:val="32"/>
          <w:szCs w:val="32"/>
          <w:lang w:val="en-US" w:eastAsia="zh-CN"/>
        </w:rPr>
        <w:t>3</w:t>
      </w:r>
      <w:r>
        <w:rPr>
          <w:rFonts w:hint="eastAsia" w:ascii="方正仿宋_GBK" w:hAnsi="方正仿宋_GBK" w:eastAsia="方正仿宋_GBK" w:cs="方正仿宋_GBK"/>
          <w:sz w:val="32"/>
          <w:szCs w:val="32"/>
        </w:rPr>
        <w:t>年，</w:t>
      </w:r>
      <w:r>
        <w:rPr>
          <w:rFonts w:hint="eastAsia" w:ascii="方正仿宋_GBK" w:hAnsi="方正仿宋_GBK" w:eastAsia="方正仿宋_GBK" w:cs="方正仿宋_GBK"/>
          <w:sz w:val="32"/>
          <w:szCs w:val="32"/>
          <w:lang w:val="en-US" w:eastAsia="zh-CN"/>
        </w:rPr>
        <w:t>新区严格执行</w:t>
      </w:r>
      <w:r>
        <w:rPr>
          <w:rFonts w:hint="eastAsia" w:ascii="仿宋" w:hAnsi="仿宋" w:eastAsia="仿宋"/>
          <w:sz w:val="32"/>
          <w:szCs w:val="32"/>
          <w:lang w:val="en-US" w:eastAsia="zh-CN"/>
        </w:rPr>
        <w:t>《长春新区财政预算绩效管理工作实施方案（</w:t>
      </w:r>
      <w:r>
        <w:rPr>
          <w:rFonts w:hint="eastAsia" w:ascii="方正仿宋_GBK" w:hAnsi="方正仿宋_GBK" w:eastAsia="方正仿宋_GBK" w:cs="方正仿宋_GBK"/>
          <w:sz w:val="32"/>
          <w:szCs w:val="32"/>
        </w:rPr>
        <w:t>试行）》</w:t>
      </w:r>
      <w:r>
        <w:rPr>
          <w:rFonts w:hint="eastAsia" w:ascii="方正仿宋_GBK" w:hAnsi="方正仿宋_GBK" w:eastAsia="方正仿宋_GBK" w:cs="方正仿宋_GBK"/>
          <w:sz w:val="32"/>
          <w:szCs w:val="32"/>
          <w:lang w:val="en-US" w:eastAsia="zh-CN"/>
        </w:rPr>
        <w:t>等五项绩效管理办法</w:t>
      </w:r>
      <w:r>
        <w:rPr>
          <w:rFonts w:hint="eastAsia" w:ascii="方正仿宋_GBK" w:hAnsi="方正仿宋_GBK" w:eastAsia="方正仿宋_GBK" w:cs="方正仿宋_GBK"/>
          <w:sz w:val="32"/>
          <w:szCs w:val="32"/>
        </w:rPr>
        <w:t>，进一步完善了</w:t>
      </w:r>
      <w:r>
        <w:rPr>
          <w:rFonts w:hint="eastAsia" w:ascii="方正仿宋_GBK" w:hAnsi="方正仿宋_GBK" w:eastAsia="方正仿宋_GBK" w:cs="方正仿宋_GBK"/>
          <w:sz w:val="32"/>
          <w:szCs w:val="32"/>
          <w:lang w:val="en-US" w:eastAsia="zh-CN"/>
        </w:rPr>
        <w:t>新区</w:t>
      </w:r>
      <w:r>
        <w:rPr>
          <w:rFonts w:hint="eastAsia" w:ascii="方正仿宋_GBK" w:hAnsi="方正仿宋_GBK" w:eastAsia="方正仿宋_GBK" w:cs="方正仿宋_GBK"/>
          <w:sz w:val="32"/>
          <w:szCs w:val="32"/>
        </w:rPr>
        <w:t>相关管理制度，为加强和规范财政资金的使用提供了有力保障。</w:t>
      </w:r>
    </w:p>
    <w:p>
      <w:pPr>
        <w:ind w:firstLine="640" w:firstLineChars="200"/>
        <w:rPr>
          <w:rFonts w:hint="eastAsia" w:ascii="方正仿宋_GBK" w:hAnsi="方正仿宋_GBK" w:eastAsia="方正仿宋_GBK" w:cs="方正仿宋_GBK"/>
          <w:sz w:val="32"/>
          <w:szCs w:val="32"/>
        </w:rPr>
      </w:pPr>
      <w:r>
        <w:rPr>
          <w:rFonts w:hint="eastAsia" w:ascii="方正公文黑体" w:hAnsi="方正公文黑体" w:eastAsia="方正公文黑体" w:cs="方正公文黑体"/>
          <w:sz w:val="32"/>
          <w:szCs w:val="32"/>
        </w:rPr>
        <w:t>三、存在问题</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（一）思想认识尚不到位。个别部门和单位对于绩效评价工作的重要性认识不足，消极被动、缺乏主动性。</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（二）评价指标体系设置难度大。由于财政支出的多样性和复杂性，绩效评价指标体系设置难度很大，即使可以量化，往往很多项目间也缺乏可比性，而且指标本身也在逐步变化，需要逐步建立。</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（三）绩效评价机构不健全，缺乏绩效评价专业人才。</w:t>
      </w:r>
      <w:r>
        <w:rPr>
          <w:rFonts w:hint="eastAsia" w:ascii="方正仿宋_GBK" w:hAnsi="方正仿宋_GBK" w:eastAsia="方正仿宋_GBK" w:cs="方正仿宋_GBK"/>
          <w:sz w:val="32"/>
          <w:szCs w:val="32"/>
          <w:lang w:val="en-US" w:eastAsia="zh-CN"/>
        </w:rPr>
        <w:t>长春新区</w:t>
      </w:r>
      <w:r>
        <w:rPr>
          <w:rFonts w:hint="eastAsia" w:ascii="方正仿宋_GBK" w:hAnsi="方正仿宋_GBK" w:eastAsia="方正仿宋_GBK" w:cs="方正仿宋_GBK"/>
          <w:sz w:val="32"/>
          <w:szCs w:val="32"/>
        </w:rPr>
        <w:t>财政局中没有单独设立绩效</w:t>
      </w:r>
      <w:r>
        <w:rPr>
          <w:rFonts w:hint="eastAsia" w:ascii="方正仿宋_GBK" w:hAnsi="方正仿宋_GBK" w:eastAsia="方正仿宋_GBK" w:cs="方正仿宋_GBK"/>
          <w:sz w:val="32"/>
          <w:szCs w:val="32"/>
          <w:lang w:val="en-US" w:eastAsia="zh-CN"/>
        </w:rPr>
        <w:t>科</w:t>
      </w:r>
      <w:r>
        <w:rPr>
          <w:rFonts w:hint="eastAsia" w:ascii="方正仿宋_GBK" w:hAnsi="方正仿宋_GBK" w:eastAsia="方正仿宋_GBK" w:cs="方正仿宋_GBK"/>
          <w:sz w:val="32"/>
          <w:szCs w:val="32"/>
        </w:rPr>
        <w:t>室。绩效评价的深度和广度受到限制，绩效评价工作质量也受到较大影响。</w:t>
      </w:r>
    </w:p>
    <w:p>
      <w:pPr>
        <w:ind w:firstLine="640" w:firstLineChars="200"/>
        <w:rPr>
          <w:rFonts w:hint="default" w:ascii="方正仿宋_GBK" w:hAnsi="方正仿宋_GBK" w:eastAsia="方正公文黑体" w:cs="方正仿宋_GBK"/>
          <w:sz w:val="32"/>
          <w:szCs w:val="32"/>
          <w:lang w:val="en-US" w:eastAsia="zh-CN"/>
        </w:rPr>
      </w:pPr>
      <w:r>
        <w:rPr>
          <w:rFonts w:hint="eastAsia" w:ascii="方正公文黑体" w:hAnsi="方正公文黑体" w:eastAsia="方正公文黑体" w:cs="方正公文黑体"/>
          <w:sz w:val="32"/>
          <w:szCs w:val="32"/>
        </w:rPr>
        <w:t>四、</w:t>
      </w:r>
      <w:r>
        <w:rPr>
          <w:rFonts w:hint="eastAsia" w:ascii="方正公文黑体" w:hAnsi="方正公文黑体" w:eastAsia="方正公文黑体" w:cs="方正公文黑体"/>
          <w:sz w:val="32"/>
          <w:szCs w:val="32"/>
          <w:lang w:val="en-US" w:eastAsia="zh-CN"/>
        </w:rPr>
        <w:t>提高三方机构执业能力</w:t>
      </w:r>
    </w:p>
    <w:p>
      <w:pPr>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长春新区财政局采取购买服务的方式确认三方机构并与三方机构签订预算绩效目标审核、绩效管理业务服务合同，全面提升新区预算绩效管理整体水平。强化各部门预算绩效目标可量化、可考核。</w:t>
      </w:r>
    </w:p>
    <w:p>
      <w:pPr>
        <w:ind w:firstLine="640" w:firstLineChars="200"/>
        <w:rPr>
          <w:rFonts w:hint="eastAsia" w:ascii="方正公文黑体" w:hAnsi="方正公文黑体" w:eastAsia="方正公文黑体" w:cs="方正公文黑体"/>
          <w:sz w:val="32"/>
          <w:szCs w:val="32"/>
        </w:rPr>
      </w:pPr>
      <w:r>
        <w:rPr>
          <w:rFonts w:hint="eastAsia" w:ascii="方正公文黑体" w:hAnsi="方正公文黑体" w:eastAsia="方正公文黑体" w:cs="方正公文黑体"/>
          <w:sz w:val="32"/>
          <w:szCs w:val="32"/>
        </w:rPr>
        <w:t>五、下一步思路</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加大宣传力度，提高认识，加强领导，充分认识财政支出绩效评价的重要性和必要性。要求各部门必须统一思想认识，强化责任意识，把财政支出绩效评价工作列入重要议事日程，积极配合，做好工作；大力宣传财政支出绩效评价的目的意义、实际应用和评价项目成果，及时公布绩效评价有关政策、制度，积极营造良好的工作氛围。</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加大绩效评价工作推进力度。常态化落实绩效评价工作，早安排、早落实。进一步完善绩效评价制度，重点是根据各类专项资金各自的功能作用、绩效目标和具体要求，确定科学的评价指标、评价标准和评价办法，形成科学、规范的评价体系。</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三）强化绩效评价结果的运用。把绩效评价结果作为下年度安排部门预算和考核部门工作业绩的重要依据，进一步优化财政资源配置，对绩效低下的专项资金，取消或调整支出方式，调整支出结构，使财政资金的安排使用更趋合理、有效。建立绩效评价结果报告和公示制度，绩效评价结果在一定范围内公布，以增强财政资金使用的透明度，加强绩效评价工作的规范性和约束力。</w:t>
      </w:r>
    </w:p>
    <w:p>
      <w:pPr>
        <w:ind w:firstLine="640" w:firstLineChars="200"/>
        <w:rPr>
          <w:rFonts w:hint="eastAsia" w:ascii="方正公文黑体" w:hAnsi="方正公文黑体" w:eastAsia="方正公文黑体" w:cs="方正公文黑体"/>
          <w:sz w:val="32"/>
          <w:szCs w:val="32"/>
        </w:rPr>
      </w:pPr>
      <w:r>
        <w:rPr>
          <w:rFonts w:hint="eastAsia" w:ascii="方正公文黑体" w:hAnsi="方正公文黑体" w:eastAsia="方正公文黑体" w:cs="方正公文黑体"/>
          <w:sz w:val="32"/>
          <w:szCs w:val="32"/>
        </w:rPr>
        <w:t>六、建议</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希望上级部门能够加大对</w:t>
      </w:r>
      <w:r>
        <w:rPr>
          <w:rFonts w:hint="eastAsia" w:ascii="方正仿宋_GBK" w:hAnsi="方正仿宋_GBK" w:eastAsia="方正仿宋_GBK" w:cs="方正仿宋_GBK"/>
          <w:sz w:val="32"/>
          <w:szCs w:val="32"/>
          <w:lang w:val="en-US" w:eastAsia="zh-CN"/>
        </w:rPr>
        <w:t>区级</w:t>
      </w:r>
      <w:r>
        <w:rPr>
          <w:rFonts w:hint="eastAsia" w:ascii="方正仿宋_GBK" w:hAnsi="方正仿宋_GBK" w:eastAsia="方正仿宋_GBK" w:cs="方正仿宋_GBK"/>
          <w:sz w:val="32"/>
          <w:szCs w:val="32"/>
        </w:rPr>
        <w:t>基层工作人员</w:t>
      </w:r>
      <w:r>
        <w:rPr>
          <w:rFonts w:hint="eastAsia" w:ascii="方正仿宋_GBK" w:hAnsi="方正仿宋_GBK" w:eastAsia="方正仿宋_GBK" w:cs="方正仿宋_GBK"/>
          <w:sz w:val="32"/>
          <w:szCs w:val="32"/>
          <w:lang w:val="en-US" w:eastAsia="zh-CN"/>
        </w:rPr>
        <w:t>及三方机构</w:t>
      </w:r>
      <w:r>
        <w:rPr>
          <w:rFonts w:hint="eastAsia" w:ascii="方正仿宋_GBK" w:hAnsi="方正仿宋_GBK" w:eastAsia="方正仿宋_GBK" w:cs="方正仿宋_GBK"/>
          <w:sz w:val="32"/>
          <w:szCs w:val="32"/>
        </w:rPr>
        <w:t>的培训力度，定期开展培训，对预算绩效管理的方式方法进行业务指导</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rPr>
        <w:t>以提高基层工作人员的理论</w:t>
      </w:r>
      <w:r>
        <w:rPr>
          <w:rFonts w:hint="eastAsia" w:ascii="方正仿宋_GBK" w:hAnsi="方正仿宋_GBK" w:eastAsia="方正仿宋_GBK" w:cs="方正仿宋_GBK"/>
          <w:sz w:val="32"/>
          <w:szCs w:val="32"/>
          <w:lang w:val="en-US" w:eastAsia="zh-CN"/>
        </w:rPr>
        <w:t>与实操</w:t>
      </w:r>
      <w:r>
        <w:rPr>
          <w:rFonts w:hint="eastAsia" w:ascii="方正仿宋_GBK" w:hAnsi="方正仿宋_GBK" w:eastAsia="方正仿宋_GBK" w:cs="方正仿宋_GBK"/>
          <w:sz w:val="32"/>
          <w:szCs w:val="32"/>
        </w:rPr>
        <w:t>水平，确保</w:t>
      </w:r>
      <w:r>
        <w:rPr>
          <w:rFonts w:hint="eastAsia" w:ascii="方正仿宋_GBK" w:hAnsi="方正仿宋_GBK" w:eastAsia="方正仿宋_GBK" w:cs="方正仿宋_GBK"/>
          <w:sz w:val="32"/>
          <w:szCs w:val="32"/>
          <w:lang w:val="en-US" w:eastAsia="zh-CN"/>
        </w:rPr>
        <w:t>区</w:t>
      </w:r>
      <w:r>
        <w:rPr>
          <w:rFonts w:hint="eastAsia" w:ascii="方正仿宋_GBK" w:hAnsi="方正仿宋_GBK" w:eastAsia="方正仿宋_GBK" w:cs="方正仿宋_GBK"/>
          <w:sz w:val="32"/>
          <w:szCs w:val="32"/>
        </w:rPr>
        <w:t>级预算绩效管理工作的有效开展。</w:t>
      </w:r>
    </w:p>
    <w:p>
      <w:pPr>
        <w:ind w:firstLine="640" w:firstLineChars="200"/>
        <w:rPr>
          <w:rFonts w:hint="eastAsia" w:ascii="方正仿宋_GBK" w:hAnsi="方正仿宋_GBK" w:eastAsia="方正仿宋_GBK" w:cs="方正仿宋_GBK"/>
          <w:sz w:val="32"/>
          <w:szCs w:val="32"/>
        </w:rPr>
      </w:pPr>
    </w:p>
    <w:p>
      <w:pPr>
        <w:ind w:firstLine="640" w:firstLineChars="200"/>
        <w:rPr>
          <w:rFonts w:hint="eastAsia" w:ascii="方正仿宋_GBK" w:hAnsi="方正仿宋_GBK" w:eastAsia="方正仿宋_GBK" w:cs="方正仿宋_GBK"/>
          <w:sz w:val="32"/>
          <w:szCs w:val="32"/>
        </w:rPr>
      </w:pPr>
    </w:p>
    <w:p>
      <w:pPr>
        <w:ind w:firstLine="4160" w:firstLineChars="13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长春新区财政局</w:t>
      </w:r>
    </w:p>
    <w:p>
      <w:pPr>
        <w:ind w:firstLine="4160" w:firstLineChars="13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2023年11月18日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05CF368A-A0C5-4B95-8BD1-A7E6EF3C9828}"/>
  </w:font>
  <w:font w:name="方正仿宋_GBK">
    <w:panose1 w:val="02000000000000000000"/>
    <w:charset w:val="86"/>
    <w:family w:val="auto"/>
    <w:pitch w:val="default"/>
    <w:sig w:usb0="A00002BF" w:usb1="38CF7CFA" w:usb2="00082016" w:usb3="00000000" w:csb0="00040001" w:csb1="00000000"/>
    <w:embedRegular r:id="rId2" w:fontKey="{781A8E6E-FAAC-47E4-A1A6-4E58981F7249}"/>
  </w:font>
  <w:font w:name="方正公文黑体">
    <w:panose1 w:val="02000500000000000000"/>
    <w:charset w:val="86"/>
    <w:family w:val="auto"/>
    <w:pitch w:val="default"/>
    <w:sig w:usb0="A00002BF" w:usb1="38CF7CFA" w:usb2="00000016" w:usb3="00000000" w:csb0="00040001" w:csb1="00000000"/>
    <w:embedRegular r:id="rId3" w:fontKey="{3AE54F8C-7D44-4675-9512-6CB373A6D129}"/>
  </w:font>
  <w:font w:name="仿宋">
    <w:panose1 w:val="02010609060101010101"/>
    <w:charset w:val="86"/>
    <w:family w:val="modern"/>
    <w:pitch w:val="default"/>
    <w:sig w:usb0="800002BF" w:usb1="38CF7CFA" w:usb2="00000016" w:usb3="00000000" w:csb0="00040001" w:csb1="00000000"/>
    <w:embedRegular r:id="rId4" w:fontKey="{BD860E59-2AD1-4B1C-AAE1-1776E8984F33}"/>
  </w:font>
  <w:font w:name="方正仿宋_GB2312">
    <w:panose1 w:val="02000000000000000000"/>
    <w:charset w:val="86"/>
    <w:family w:val="auto"/>
    <w:pitch w:val="default"/>
    <w:sig w:usb0="A00002BF" w:usb1="184F6CFA" w:usb2="00000012" w:usb3="00000000" w:csb0="00040001" w:csb1="00000000"/>
    <w:embedRegular r:id="rId5" w:fontKey="{BFEE138D-C66D-4390-AB29-6829A67F2890}"/>
  </w:font>
  <w:font w:name="华文仿宋">
    <w:panose1 w:val="02010600040101010101"/>
    <w:charset w:val="86"/>
    <w:family w:val="auto"/>
    <w:pitch w:val="default"/>
    <w:sig w:usb0="00000287" w:usb1="080F0000" w:usb2="00000000" w:usb3="00000000" w:csb0="0004009F" w:csb1="DFD70000"/>
    <w:embedRegular r:id="rId6" w:fontKey="{A579C467-7E9F-4AA4-94CD-F3BB5C4268F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A0YzU4NGM0MzllNzRmNGMzNjY5ODVjMTI4NTQyNTMifQ=="/>
  </w:docVars>
  <w:rsids>
    <w:rsidRoot w:val="521D185C"/>
    <w:rsid w:val="0B1E4369"/>
    <w:rsid w:val="0FEC7B74"/>
    <w:rsid w:val="1EAC7DF3"/>
    <w:rsid w:val="26355556"/>
    <w:rsid w:val="3A084BF8"/>
    <w:rsid w:val="521D185C"/>
    <w:rsid w:val="75BB4279"/>
    <w:rsid w:val="7CCE07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1578</Words>
  <Characters>1601</Characters>
  <Lines>0</Lines>
  <Paragraphs>0</Paragraphs>
  <TotalTime>0</TotalTime>
  <ScaleCrop>false</ScaleCrop>
  <LinksUpToDate>false</LinksUpToDate>
  <CharactersWithSpaces>1602</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2022-08-17T02:17:00Z</dcterms:created>
  <dc:creator>小轶</dc:creator>
  <cp:lastModifiedBy>小轶</cp:lastModifiedBy>
  <cp:lastPrinted>2023-03-13T03:43:00Z</cp:lastPrinted>
  <dcterms:modified xsi:type="dcterms:W3CDTF">2023-12-19T11:50:13Z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59808DDD7DF546E89C9860AB9D5B5220_13</vt:lpwstr>
  </property>
</Properties>
</file>